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18" w:rsidRDefault="00D009F0">
      <w:pPr>
        <w:rPr>
          <w:rFonts w:cs="Arial"/>
          <w:b/>
          <w:color w:val="222222"/>
        </w:rPr>
      </w:pPr>
      <w:r w:rsidRPr="00D009F0">
        <w:rPr>
          <w:rFonts w:cs="Arial"/>
          <w:b/>
          <w:color w:val="222222"/>
          <w:shd w:val="clear" w:color="auto" w:fill="FFFFFF"/>
        </w:rPr>
        <w:t>Reviewer 1 report:</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557453"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sidR="00557453">
        <w:rPr>
          <w:rFonts w:cs="Arial"/>
          <w:color w:val="222222"/>
        </w:rPr>
        <w:t xml:space="preserve">For example, we have added information on MHW effects on kelp in other areas (New Zealand, Australia, North Atlantic). The earlier draft did cover many of the topics (differences in kelp loss among regions, references to differences in predator redundancy among regions, effects of trophic cascades, effects of climate drivers, </w:t>
      </w:r>
      <w:proofErr w:type="spellStart"/>
      <w:r w:rsidR="00557453">
        <w:rPr>
          <w:rFonts w:cs="Arial"/>
          <w:color w:val="222222"/>
        </w:rPr>
        <w:t>etc</w:t>
      </w:r>
      <w:proofErr w:type="spellEnd"/>
      <w:r w:rsidR="00557453">
        <w:rPr>
          <w:rFonts w:cs="Arial"/>
          <w:color w:val="222222"/>
        </w:rPr>
        <w:t xml:space="preserve">), but was not specific as to regional differences. In the current version we have added in more region-specific information, such as regional differences in urchin predators. </w:t>
      </w:r>
    </w:p>
    <w:p w:rsidR="00557453" w:rsidRDefault="00557453">
      <w:pPr>
        <w:rPr>
          <w:rFonts w:cs="Arial"/>
          <w:color w:val="222222"/>
        </w:rPr>
      </w:pPr>
    </w:p>
    <w:p w:rsidR="00557453" w:rsidRDefault="00A36618">
      <w:pPr>
        <w:rPr>
          <w:rFonts w:cs="Arial"/>
          <w:color w:val="222222"/>
        </w:rPr>
      </w:pPr>
      <w:r>
        <w:rPr>
          <w:rFonts w:cs="Arial"/>
          <w:color w:val="222222"/>
        </w:rPr>
        <w:t>However, given that we don’t know, a priori, the thermal regime at the sites, it is difficu</w:t>
      </w:r>
      <w:r w:rsidR="00557453">
        <w:rPr>
          <w:rFonts w:cs="Arial"/>
          <w:color w:val="222222"/>
        </w:rPr>
        <w:t xml:space="preserve">lt to make specific hypotheses regarding how Washington kelp forests would respond to the MWH.  We have, however, added the following: </w:t>
      </w:r>
    </w:p>
    <w:p w:rsidR="00557453" w:rsidRPr="00A36618" w:rsidRDefault="00557453">
      <w:pPr>
        <w:rPr>
          <w:rFonts w:cs="Arial"/>
          <w:color w:val="222222"/>
        </w:rPr>
      </w:pPr>
      <w:r>
        <w:rPr>
          <w:rFonts w:cs="Arial"/>
          <w:color w:val="222222"/>
        </w:rPr>
        <w:t>“</w:t>
      </w:r>
      <w:r w:rsidRPr="00557453">
        <w:rPr>
          <w:rFonts w:cs="Arial"/>
          <w:color w:val="222222"/>
        </w:rPr>
        <w:t xml:space="preserve">We predict fewer strong impacts from the 2014-2016 MHW and SSWS on Washington kelp forests because both </w:t>
      </w:r>
      <w:proofErr w:type="spellStart"/>
      <w:r w:rsidRPr="00557453">
        <w:rPr>
          <w:rFonts w:cs="Arial"/>
          <w:color w:val="222222"/>
        </w:rPr>
        <w:t>Macrosystis</w:t>
      </w:r>
      <w:proofErr w:type="spellEnd"/>
      <w:r w:rsidRPr="00557453">
        <w:rPr>
          <w:rFonts w:cs="Arial"/>
          <w:color w:val="222222"/>
        </w:rPr>
        <w:t xml:space="preserve"> and </w:t>
      </w:r>
      <w:proofErr w:type="spellStart"/>
      <w:r w:rsidRPr="00557453">
        <w:rPr>
          <w:rFonts w:cs="Arial"/>
          <w:color w:val="222222"/>
        </w:rPr>
        <w:t>Nereocystis</w:t>
      </w:r>
      <w:proofErr w:type="spellEnd"/>
      <w:r w:rsidRPr="00557453">
        <w:rPr>
          <w:rFonts w:cs="Arial"/>
          <w:color w:val="222222"/>
        </w:rPr>
        <w:t xml:space="preserve"> are in the central portion of their range (</w:t>
      </w:r>
      <w:proofErr w:type="spellStart"/>
      <w:r w:rsidRPr="00557453">
        <w:rPr>
          <w:rFonts w:cs="Arial"/>
          <w:color w:val="222222"/>
        </w:rPr>
        <w:t>Smale</w:t>
      </w:r>
      <w:proofErr w:type="spellEnd"/>
      <w:r w:rsidRPr="00557453">
        <w:rPr>
          <w:rFonts w:cs="Arial"/>
          <w:color w:val="222222"/>
        </w:rPr>
        <w:t xml:space="preserve"> 2020) and </w:t>
      </w:r>
      <w:r>
        <w:rPr>
          <w:rFonts w:cs="Arial"/>
          <w:color w:val="222222"/>
        </w:rPr>
        <w:t xml:space="preserve">absolute </w:t>
      </w:r>
      <w:r w:rsidRPr="00557453">
        <w:rPr>
          <w:rFonts w:cs="Arial"/>
          <w:color w:val="222222"/>
        </w:rPr>
        <w:t>temperature extremes are less likely to exceed species tolerances at these latitudes (Hamilton et al. 2020)</w:t>
      </w:r>
      <w:r w:rsidR="0097788F">
        <w:rPr>
          <w:rFonts w:cs="Arial"/>
          <w:color w:val="222222"/>
        </w:rPr>
        <w:t xml:space="preserve">. Moreover, </w:t>
      </w:r>
      <w:r w:rsidR="0038060C">
        <w:rPr>
          <w:rFonts w:cs="Arial"/>
          <w:color w:val="222222"/>
        </w:rPr>
        <w:t>top-</w:t>
      </w:r>
      <w:r w:rsidRPr="00557453">
        <w:rPr>
          <w:rFonts w:cs="Arial"/>
          <w:color w:val="222222"/>
        </w:rPr>
        <w:t xml:space="preserve">down pressure from sea otters, which are present along the Washington Coast (Shelton et al. 2018, </w:t>
      </w:r>
      <w:proofErr w:type="spellStart"/>
      <w:r w:rsidRPr="00557453">
        <w:rPr>
          <w:rFonts w:cs="Arial"/>
          <w:color w:val="222222"/>
        </w:rPr>
        <w:t>Gregr</w:t>
      </w:r>
      <w:proofErr w:type="spellEnd"/>
      <w:r w:rsidRPr="00557453">
        <w:rPr>
          <w:rFonts w:cs="Arial"/>
          <w:color w:val="222222"/>
        </w:rPr>
        <w:t xml:space="preserve"> et al. 2020), may help to prevent a shift to urchin barren habitats</w:t>
      </w:r>
      <w:r>
        <w:rPr>
          <w:rFonts w:cs="Arial"/>
          <w:color w:val="222222"/>
        </w:rPr>
        <w:t xml:space="preserve"> in the event of substantial, initial kelp loss</w:t>
      </w:r>
      <w:r w:rsidRPr="00557453">
        <w:rPr>
          <w:rFonts w:cs="Arial"/>
          <w:color w:val="222222"/>
        </w:rPr>
        <w:t>.</w:t>
      </w:r>
      <w:r>
        <w:rPr>
          <w:rFonts w:cs="Arial"/>
          <w:color w:val="222222"/>
        </w:rPr>
        <w:t>”</w:t>
      </w:r>
    </w:p>
    <w:p w:rsidR="00A94996"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w:t>
      </w:r>
    </w:p>
    <w:p w:rsidR="00253B9A" w:rsidRDefault="00253B9A">
      <w:pPr>
        <w:rPr>
          <w:rFonts w:cs="Arial"/>
          <w:b/>
          <w:color w:val="222222"/>
          <w:shd w:val="clear" w:color="auto" w:fill="FFFFFF"/>
        </w:rPr>
      </w:pPr>
    </w:p>
    <w:p w:rsidR="00253B9A" w:rsidRDefault="00253B9A">
      <w:pPr>
        <w:rPr>
          <w:rFonts w:cs="Arial"/>
          <w:b/>
          <w:color w:val="222222"/>
          <w:shd w:val="clear" w:color="auto" w:fill="FFFFFF"/>
        </w:rPr>
      </w:pPr>
      <w:r>
        <w:rPr>
          <w:rFonts w:cs="Arial"/>
          <w:b/>
          <w:color w:val="222222"/>
          <w:shd w:val="clear" w:color="auto" w:fill="FFFFFF"/>
        </w:rPr>
        <w:t>PS NOTES:</w:t>
      </w:r>
    </w:p>
    <w:p w:rsidR="00253B9A" w:rsidRDefault="003530B9" w:rsidP="00253B9A">
      <w:pPr>
        <w:pStyle w:val="ListParagraph"/>
        <w:rPr>
          <w:shd w:val="clear" w:color="auto" w:fill="FFFFFF"/>
        </w:rPr>
      </w:pPr>
      <w:r>
        <w:rPr>
          <w:shd w:val="clear" w:color="auto" w:fill="FFFFFF"/>
        </w:rPr>
        <w:t>MH</w:t>
      </w:r>
      <w:r w:rsidR="00253B9A" w:rsidRPr="00253B9A">
        <w:rPr>
          <w:shd w:val="clear" w:color="auto" w:fill="FFFFFF"/>
        </w:rPr>
        <w:t xml:space="preserve">W entered in late 2014/early 2015. Place got hot. </w:t>
      </w:r>
    </w:p>
    <w:p w:rsidR="00EB7EDD" w:rsidRDefault="00EB7EDD" w:rsidP="00EB7EDD">
      <w:pPr>
        <w:pStyle w:val="ListParagraph"/>
        <w:numPr>
          <w:ilvl w:val="1"/>
          <w:numId w:val="1"/>
        </w:numPr>
        <w:rPr>
          <w:shd w:val="clear" w:color="auto" w:fill="FFFFFF"/>
        </w:rPr>
      </w:pPr>
      <w:proofErr w:type="spellStart"/>
      <w:r>
        <w:rPr>
          <w:shd w:val="clear" w:color="auto" w:fill="FFFFFF"/>
        </w:rPr>
        <w:t>Khangaonkar</w:t>
      </w:r>
      <w:proofErr w:type="spellEnd"/>
      <w:r>
        <w:rPr>
          <w:shd w:val="clear" w:color="auto" w:fill="FFFFFF"/>
        </w:rPr>
        <w:t xml:space="preserve"> paper</w:t>
      </w:r>
    </w:p>
    <w:p w:rsidR="00EB7EDD" w:rsidRDefault="00EB7EDD" w:rsidP="00EB7EDD">
      <w:pPr>
        <w:pStyle w:val="ListParagraph"/>
        <w:numPr>
          <w:ilvl w:val="1"/>
          <w:numId w:val="1"/>
        </w:numPr>
        <w:rPr>
          <w:shd w:val="clear" w:color="auto" w:fill="FFFFFF"/>
        </w:rPr>
      </w:pPr>
      <w:r>
        <w:rPr>
          <w:shd w:val="clear" w:color="auto" w:fill="FFFFFF"/>
        </w:rPr>
        <w:t>Anomaly +2.3</w:t>
      </w:r>
      <w:r w:rsidRPr="00EB7EDD">
        <w:rPr>
          <w:shd w:val="clear" w:color="auto" w:fill="FFFFFF"/>
        </w:rPr>
        <w:t>C</w:t>
      </w:r>
    </w:p>
    <w:p w:rsidR="00EB7EDD" w:rsidRDefault="00EB7EDD" w:rsidP="00EB7EDD">
      <w:pPr>
        <w:pStyle w:val="ListParagraph"/>
        <w:numPr>
          <w:ilvl w:val="1"/>
          <w:numId w:val="1"/>
        </w:numPr>
        <w:rPr>
          <w:shd w:val="clear" w:color="auto" w:fill="FFFFFF"/>
        </w:rPr>
      </w:pPr>
      <w:r>
        <w:rPr>
          <w:shd w:val="clear" w:color="auto" w:fill="FFFFFF"/>
        </w:rPr>
        <w:t xml:space="preserve">Less than the +6.2C in SoCal </w:t>
      </w:r>
      <w:proofErr w:type="spellStart"/>
      <w:r>
        <w:rPr>
          <w:shd w:val="clear" w:color="auto" w:fill="FFFFFF"/>
        </w:rPr>
        <w:t>Gentemann</w:t>
      </w:r>
      <w:proofErr w:type="spellEnd"/>
      <w:r>
        <w:rPr>
          <w:shd w:val="clear" w:color="auto" w:fill="FFFFFF"/>
        </w:rPr>
        <w:t xml:space="preserve"> et al 2017</w:t>
      </w:r>
    </w:p>
    <w:p w:rsidR="00EB7EDD" w:rsidRDefault="00EB7EDD" w:rsidP="00EB7EDD">
      <w:pPr>
        <w:pStyle w:val="ListParagraph"/>
        <w:numPr>
          <w:ilvl w:val="1"/>
          <w:numId w:val="1"/>
        </w:numPr>
        <w:rPr>
          <w:shd w:val="clear" w:color="auto" w:fill="FFFFFF"/>
        </w:rPr>
      </w:pPr>
      <w:r>
        <w:rPr>
          <w:shd w:val="clear" w:color="auto" w:fill="FFFFFF"/>
        </w:rPr>
        <w:t xml:space="preserve">Observed data ~ 14.5 C, but below 15C. </w:t>
      </w:r>
    </w:p>
    <w:p w:rsidR="00EB7EDD" w:rsidRPr="00EB7EDD" w:rsidRDefault="00EB7EDD" w:rsidP="00EB7EDD">
      <w:pPr>
        <w:pStyle w:val="ListParagraph"/>
        <w:numPr>
          <w:ilvl w:val="1"/>
          <w:numId w:val="1"/>
        </w:numPr>
        <w:rPr>
          <w:shd w:val="clear" w:color="auto" w:fill="FFFFFF"/>
        </w:rPr>
      </w:pPr>
      <w:r>
        <w:rPr>
          <w:shd w:val="clear" w:color="auto" w:fill="FFFFFF"/>
        </w:rPr>
        <w:t>Modeled data a bit higher</w:t>
      </w:r>
    </w:p>
    <w:p w:rsidR="00253B9A" w:rsidRDefault="005E3E7C" w:rsidP="00253B9A">
      <w:pPr>
        <w:pStyle w:val="ListParagraph"/>
        <w:rPr>
          <w:shd w:val="clear" w:color="auto" w:fill="FFFFFF"/>
        </w:rPr>
      </w:pPr>
      <w:r>
        <w:rPr>
          <w:shd w:val="clear" w:color="auto" w:fill="FFFFFF"/>
        </w:rPr>
        <w:t>KELP – not a lot of info but</w:t>
      </w:r>
    </w:p>
    <w:p w:rsidR="005E3E7C" w:rsidRDefault="005E3E7C" w:rsidP="002D5767">
      <w:pPr>
        <w:pStyle w:val="ListParagraph"/>
        <w:numPr>
          <w:ilvl w:val="1"/>
          <w:numId w:val="1"/>
        </w:numPr>
        <w:rPr>
          <w:shd w:val="clear" w:color="auto" w:fill="FFFFFF"/>
        </w:rPr>
      </w:pPr>
      <w:proofErr w:type="spellStart"/>
      <w:r w:rsidRPr="005E3E7C">
        <w:rPr>
          <w:shd w:val="clear" w:color="auto" w:fill="FFFFFF"/>
        </w:rPr>
        <w:t>Pfister</w:t>
      </w:r>
      <w:proofErr w:type="spellEnd"/>
      <w:r w:rsidRPr="005E3E7C">
        <w:rPr>
          <w:shd w:val="clear" w:color="auto" w:fill="FFFFFF"/>
        </w:rPr>
        <w:t xml:space="preserve"> et al 2018</w:t>
      </w:r>
    </w:p>
    <w:p w:rsidR="00253B9A" w:rsidRDefault="00253B9A" w:rsidP="005E3E7C">
      <w:pPr>
        <w:pStyle w:val="ListParagraph"/>
        <w:numPr>
          <w:ilvl w:val="2"/>
          <w:numId w:val="1"/>
        </w:numPr>
        <w:rPr>
          <w:shd w:val="clear" w:color="auto" w:fill="FFFFFF"/>
        </w:rPr>
      </w:pPr>
      <w:r w:rsidRPr="005E3E7C">
        <w:rPr>
          <w:shd w:val="clear" w:color="auto" w:fill="FFFFFF"/>
        </w:rPr>
        <w:t xml:space="preserve">Long-term decline in </w:t>
      </w:r>
      <w:proofErr w:type="spellStart"/>
      <w:r w:rsidRPr="005E3E7C">
        <w:rPr>
          <w:shd w:val="clear" w:color="auto" w:fill="FFFFFF"/>
        </w:rPr>
        <w:t>Nereo</w:t>
      </w:r>
      <w:proofErr w:type="spellEnd"/>
      <w:r w:rsidRPr="005E3E7C">
        <w:rPr>
          <w:shd w:val="clear" w:color="auto" w:fill="FFFFFF"/>
        </w:rPr>
        <w:t xml:space="preserve"> since 2007 in the eastern </w:t>
      </w:r>
      <w:proofErr w:type="spellStart"/>
      <w:r w:rsidRPr="005E3E7C">
        <w:rPr>
          <w:shd w:val="clear" w:color="auto" w:fill="FFFFFF"/>
        </w:rPr>
        <w:t>StJdF</w:t>
      </w:r>
      <w:proofErr w:type="spellEnd"/>
      <w:r w:rsidRPr="005E3E7C">
        <w:rPr>
          <w:shd w:val="clear" w:color="auto" w:fill="FFFFFF"/>
        </w:rPr>
        <w:t>.</w:t>
      </w:r>
    </w:p>
    <w:p w:rsidR="005E3E7C" w:rsidRDefault="005E3E7C" w:rsidP="005E3E7C">
      <w:pPr>
        <w:pStyle w:val="ListParagraph"/>
        <w:numPr>
          <w:ilvl w:val="2"/>
          <w:numId w:val="1"/>
        </w:numPr>
        <w:rPr>
          <w:shd w:val="clear" w:color="auto" w:fill="FFFFFF"/>
        </w:rPr>
      </w:pPr>
      <w:r>
        <w:rPr>
          <w:shd w:val="clear" w:color="auto" w:fill="FFFFFF"/>
        </w:rPr>
        <w:t>No obvious precipitous drop in 2014, longer term decline</w:t>
      </w:r>
    </w:p>
    <w:p w:rsidR="005E3E7C" w:rsidRPr="005E3E7C" w:rsidRDefault="005E3E7C" w:rsidP="005E3E7C">
      <w:pPr>
        <w:pStyle w:val="ListParagraph"/>
        <w:numPr>
          <w:ilvl w:val="1"/>
          <w:numId w:val="1"/>
        </w:numPr>
        <w:rPr>
          <w:shd w:val="clear" w:color="auto" w:fill="FFFFFF"/>
        </w:rPr>
      </w:pPr>
      <w:r>
        <w:rPr>
          <w:shd w:val="clear" w:color="auto" w:fill="FFFFFF"/>
        </w:rPr>
        <w:t>Berry et al 2019 - report</w:t>
      </w:r>
    </w:p>
    <w:p w:rsidR="00253B9A" w:rsidRDefault="00253B9A" w:rsidP="005E3E7C">
      <w:pPr>
        <w:pStyle w:val="ListParagraph"/>
        <w:numPr>
          <w:ilvl w:val="2"/>
          <w:numId w:val="1"/>
        </w:numPr>
        <w:rPr>
          <w:shd w:val="clear" w:color="auto" w:fill="FFFFFF"/>
        </w:rPr>
      </w:pPr>
      <w:r>
        <w:rPr>
          <w:shd w:val="clear" w:color="auto" w:fill="FFFFFF"/>
        </w:rPr>
        <w:t>Probably decline in kelp cover is SPS</w:t>
      </w:r>
      <w:r w:rsidR="00374485">
        <w:rPr>
          <w:shd w:val="clear" w:color="auto" w:fill="FFFFFF"/>
        </w:rPr>
        <w:t xml:space="preserve"> 2013 vs 2017/2018</w:t>
      </w:r>
    </w:p>
    <w:p w:rsidR="00EB7EDD" w:rsidRDefault="00EB7EDD" w:rsidP="005E3E7C">
      <w:pPr>
        <w:pStyle w:val="ListParagraph"/>
        <w:numPr>
          <w:ilvl w:val="2"/>
          <w:numId w:val="1"/>
        </w:numPr>
        <w:rPr>
          <w:shd w:val="clear" w:color="auto" w:fill="FFFFFF"/>
        </w:rPr>
      </w:pPr>
      <w:r>
        <w:rPr>
          <w:shd w:val="clear" w:color="auto" w:fill="FFFFFF"/>
        </w:rPr>
        <w:t>But long</w:t>
      </w:r>
      <w:r w:rsidR="00FB47F6">
        <w:rPr>
          <w:shd w:val="clear" w:color="auto" w:fill="FFFFFF"/>
        </w:rPr>
        <w:t>-</w:t>
      </w:r>
      <w:r>
        <w:rPr>
          <w:shd w:val="clear" w:color="auto" w:fill="FFFFFF"/>
        </w:rPr>
        <w:t>term losses in SPS</w:t>
      </w:r>
      <w:r w:rsidR="00FB47F6">
        <w:rPr>
          <w:shd w:val="clear" w:color="auto" w:fill="FFFFFF"/>
        </w:rPr>
        <w:t xml:space="preserve"> in general</w:t>
      </w:r>
    </w:p>
    <w:p w:rsidR="005E3E7C" w:rsidRDefault="005E3E7C" w:rsidP="00253B9A">
      <w:pPr>
        <w:pStyle w:val="ListParagraph"/>
        <w:numPr>
          <w:ilvl w:val="1"/>
          <w:numId w:val="1"/>
        </w:numPr>
        <w:rPr>
          <w:shd w:val="clear" w:color="auto" w:fill="FFFFFF"/>
        </w:rPr>
      </w:pPr>
      <w:r>
        <w:rPr>
          <w:shd w:val="clear" w:color="auto" w:fill="FFFFFF"/>
        </w:rPr>
        <w:t>Schroeder 2016</w:t>
      </w:r>
    </w:p>
    <w:p w:rsidR="005E3E7C" w:rsidRDefault="005E3E7C" w:rsidP="005E3E7C">
      <w:pPr>
        <w:pStyle w:val="ListParagraph"/>
        <w:numPr>
          <w:ilvl w:val="2"/>
          <w:numId w:val="1"/>
        </w:numPr>
        <w:rPr>
          <w:shd w:val="clear" w:color="auto" w:fill="FFFFFF"/>
        </w:rPr>
      </w:pPr>
      <w:proofErr w:type="spellStart"/>
      <w:r>
        <w:rPr>
          <w:shd w:val="clear" w:color="auto" w:fill="FFFFFF"/>
        </w:rPr>
        <w:t>Nereo</w:t>
      </w:r>
      <w:proofErr w:type="spellEnd"/>
      <w:r>
        <w:rPr>
          <w:shd w:val="clear" w:color="auto" w:fill="FFFFFF"/>
        </w:rPr>
        <w:t xml:space="preserve"> – one bay in </w:t>
      </w:r>
      <w:proofErr w:type="spellStart"/>
      <w:r>
        <w:rPr>
          <w:shd w:val="clear" w:color="auto" w:fill="FFFFFF"/>
        </w:rPr>
        <w:t>Geogres</w:t>
      </w:r>
      <w:proofErr w:type="spellEnd"/>
      <w:r>
        <w:rPr>
          <w:shd w:val="clear" w:color="auto" w:fill="FFFFFF"/>
        </w:rPr>
        <w:t xml:space="preserve"> Strait</w:t>
      </w:r>
    </w:p>
    <w:p w:rsidR="005E3E7C" w:rsidRDefault="005E3E7C" w:rsidP="005E3E7C">
      <w:pPr>
        <w:pStyle w:val="ListParagraph"/>
        <w:numPr>
          <w:ilvl w:val="2"/>
          <w:numId w:val="1"/>
        </w:numPr>
        <w:rPr>
          <w:shd w:val="clear" w:color="auto" w:fill="FFFFFF"/>
        </w:rPr>
      </w:pPr>
      <w:r>
        <w:rPr>
          <w:shd w:val="clear" w:color="auto" w:fill="FFFFFF"/>
        </w:rPr>
        <w:t xml:space="preserve">Declines from 2015 to lowest in 2017.  </w:t>
      </w:r>
    </w:p>
    <w:p w:rsidR="005E3E7C" w:rsidRDefault="005E3E7C" w:rsidP="00253B9A">
      <w:pPr>
        <w:pStyle w:val="ListParagraph"/>
        <w:rPr>
          <w:shd w:val="clear" w:color="auto" w:fill="FFFFFF"/>
        </w:rPr>
      </w:pPr>
      <w:r>
        <w:rPr>
          <w:shd w:val="clear" w:color="auto" w:fill="FFFFFF"/>
        </w:rPr>
        <w:t>Sea stars</w:t>
      </w:r>
    </w:p>
    <w:p w:rsidR="005E3E7C" w:rsidRDefault="005E3E7C" w:rsidP="005E3E7C">
      <w:pPr>
        <w:pStyle w:val="ListParagraph"/>
        <w:numPr>
          <w:ilvl w:val="1"/>
          <w:numId w:val="1"/>
        </w:numPr>
        <w:rPr>
          <w:shd w:val="clear" w:color="auto" w:fill="FFFFFF"/>
        </w:rPr>
      </w:pPr>
      <w:proofErr w:type="spellStart"/>
      <w:r>
        <w:rPr>
          <w:shd w:val="clear" w:color="auto" w:fill="FFFFFF"/>
        </w:rPr>
        <w:t>Montecino-Latorre</w:t>
      </w:r>
      <w:proofErr w:type="spellEnd"/>
      <w:r>
        <w:rPr>
          <w:shd w:val="clear" w:color="auto" w:fill="FFFFFF"/>
        </w:rPr>
        <w:t xml:space="preserve"> et al.</w:t>
      </w:r>
    </w:p>
    <w:p w:rsidR="00253B9A" w:rsidRDefault="00253B9A" w:rsidP="005E3E7C">
      <w:pPr>
        <w:pStyle w:val="ListParagraph"/>
        <w:numPr>
          <w:ilvl w:val="1"/>
          <w:numId w:val="1"/>
        </w:numPr>
        <w:rPr>
          <w:shd w:val="clear" w:color="auto" w:fill="FFFFFF"/>
        </w:rPr>
      </w:pPr>
      <w:proofErr w:type="spellStart"/>
      <w:r>
        <w:rPr>
          <w:shd w:val="clear" w:color="auto" w:fill="FFFFFF"/>
        </w:rPr>
        <w:t>Pycno</w:t>
      </w:r>
      <w:proofErr w:type="spellEnd"/>
      <w:r>
        <w:rPr>
          <w:shd w:val="clear" w:color="auto" w:fill="FFFFFF"/>
        </w:rPr>
        <w:t xml:space="preserve"> and </w:t>
      </w:r>
      <w:proofErr w:type="spellStart"/>
      <w:r>
        <w:rPr>
          <w:shd w:val="clear" w:color="auto" w:fill="FFFFFF"/>
        </w:rPr>
        <w:t>Pisaster</w:t>
      </w:r>
      <w:proofErr w:type="spellEnd"/>
      <w:r>
        <w:rPr>
          <w:shd w:val="clear" w:color="auto" w:fill="FFFFFF"/>
        </w:rPr>
        <w:t xml:space="preserve"> both died off wi</w:t>
      </w:r>
      <w:r w:rsidR="005E3E7C">
        <w:rPr>
          <w:shd w:val="clear" w:color="auto" w:fill="FFFFFF"/>
        </w:rPr>
        <w:t>th decline starting in 2014.</w:t>
      </w:r>
    </w:p>
    <w:p w:rsidR="005E3E7C" w:rsidRDefault="005E3E7C" w:rsidP="005E3E7C">
      <w:pPr>
        <w:pStyle w:val="ListParagraph"/>
        <w:numPr>
          <w:ilvl w:val="1"/>
          <w:numId w:val="1"/>
        </w:numPr>
        <w:rPr>
          <w:shd w:val="clear" w:color="auto" w:fill="FFFFFF"/>
        </w:rPr>
      </w:pPr>
    </w:p>
    <w:p w:rsidR="00253B9A" w:rsidRDefault="005E3E7C" w:rsidP="00253B9A">
      <w:pPr>
        <w:pStyle w:val="ListParagraph"/>
        <w:rPr>
          <w:shd w:val="clear" w:color="auto" w:fill="FFFFFF"/>
        </w:rPr>
      </w:pPr>
      <w:r>
        <w:rPr>
          <w:shd w:val="clear" w:color="auto" w:fill="FFFFFF"/>
        </w:rPr>
        <w:t>Urchins</w:t>
      </w:r>
    </w:p>
    <w:p w:rsidR="005E3E7C" w:rsidRDefault="005E3E7C" w:rsidP="00253B9A">
      <w:pPr>
        <w:pStyle w:val="ListParagraph"/>
        <w:numPr>
          <w:ilvl w:val="1"/>
          <w:numId w:val="1"/>
        </w:numPr>
        <w:rPr>
          <w:shd w:val="clear" w:color="auto" w:fill="FFFFFF"/>
        </w:rPr>
      </w:pPr>
      <w:r>
        <w:rPr>
          <w:shd w:val="clear" w:color="auto" w:fill="FFFFFF"/>
        </w:rPr>
        <w:t xml:space="preserve">Purple and green urchins increased in various areas </w:t>
      </w:r>
    </w:p>
    <w:p w:rsidR="00253B9A" w:rsidRDefault="00253B9A" w:rsidP="005E3E7C">
      <w:pPr>
        <w:pStyle w:val="ListParagraph"/>
        <w:numPr>
          <w:ilvl w:val="2"/>
          <w:numId w:val="1"/>
        </w:numPr>
        <w:rPr>
          <w:shd w:val="clear" w:color="auto" w:fill="FFFFFF"/>
        </w:rPr>
      </w:pPr>
      <w:r>
        <w:rPr>
          <w:shd w:val="clear" w:color="auto" w:fill="FFFFFF"/>
        </w:rPr>
        <w:t xml:space="preserve">Purple increased in northern areas of the </w:t>
      </w:r>
      <w:proofErr w:type="spellStart"/>
      <w:r>
        <w:rPr>
          <w:shd w:val="clear" w:color="auto" w:fill="FFFFFF"/>
        </w:rPr>
        <w:t>StoG</w:t>
      </w:r>
      <w:proofErr w:type="spellEnd"/>
      <w:r>
        <w:rPr>
          <w:shd w:val="clear" w:color="auto" w:fill="FFFFFF"/>
        </w:rPr>
        <w:t xml:space="preserve"> and </w:t>
      </w:r>
      <w:proofErr w:type="spellStart"/>
      <w:r>
        <w:rPr>
          <w:shd w:val="clear" w:color="auto" w:fill="FFFFFF"/>
        </w:rPr>
        <w:t>N.Str</w:t>
      </w:r>
      <w:proofErr w:type="spellEnd"/>
      <w:r>
        <w:rPr>
          <w:shd w:val="clear" w:color="auto" w:fill="FFFFFF"/>
        </w:rPr>
        <w:t xml:space="preserve"> (San Juan Islands).</w:t>
      </w:r>
    </w:p>
    <w:p w:rsidR="00253B9A" w:rsidRDefault="005E3E7C" w:rsidP="005E3E7C">
      <w:pPr>
        <w:pStyle w:val="ListParagraph"/>
        <w:numPr>
          <w:ilvl w:val="2"/>
          <w:numId w:val="1"/>
        </w:numPr>
        <w:rPr>
          <w:shd w:val="clear" w:color="auto" w:fill="FFFFFF"/>
        </w:rPr>
      </w:pPr>
      <w:r>
        <w:rPr>
          <w:shd w:val="clear" w:color="auto" w:fill="FFFFFF"/>
        </w:rPr>
        <w:t>G</w:t>
      </w:r>
      <w:r w:rsidR="00253B9A">
        <w:rPr>
          <w:shd w:val="clear" w:color="auto" w:fill="FFFFFF"/>
        </w:rPr>
        <w:t>reens increased in CPS, SPS, and north</w:t>
      </w:r>
    </w:p>
    <w:p w:rsidR="00253B9A" w:rsidRPr="00253B9A" w:rsidRDefault="00253B9A" w:rsidP="00253B9A">
      <w:pPr>
        <w:pStyle w:val="ListParagraph"/>
        <w:numPr>
          <w:ilvl w:val="1"/>
          <w:numId w:val="1"/>
        </w:numPr>
        <w:rPr>
          <w:shd w:val="clear" w:color="auto" w:fill="FFFFFF"/>
        </w:rPr>
      </w:pPr>
      <w:r>
        <w:rPr>
          <w:shd w:val="clear" w:color="auto" w:fill="FFFFFF"/>
        </w:rPr>
        <w:t>Kelp crabs really the main kelp herbivore (ref)</w:t>
      </w:r>
    </w:p>
    <w:p w:rsidR="00A94996" w:rsidRDefault="00D009F0" w:rsidP="00A94996">
      <w:pPr>
        <w:rPr>
          <w:rFonts w:cs="Arial"/>
          <w:color w:val="222222"/>
        </w:rPr>
      </w:pPr>
      <w:r w:rsidRPr="00D009F0">
        <w:rPr>
          <w:rFonts w:cs="Arial"/>
          <w:b/>
          <w:color w:val="222222"/>
          <w:shd w:val="clear" w:color="auto" w:fill="FFFFFF"/>
        </w:rPr>
        <w:lastRenderedPageBreak/>
        <w:t xml:space="preserve">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A94996" w:rsidRDefault="00A94996" w:rsidP="00A94996">
      <w:pPr>
        <w:rPr>
          <w:rFonts w:cs="Arial"/>
          <w:color w:val="222222"/>
        </w:rPr>
      </w:pPr>
      <w:r>
        <w:rPr>
          <w:rFonts w:cs="Arial"/>
          <w:color w:val="222222"/>
        </w:rPr>
        <w:t>Wave action is clearly important for kelps. However, we have not focused on wave action because it does not seem to be particularly important at our sites</w:t>
      </w:r>
      <w:r w:rsidR="00A94A1D">
        <w:rPr>
          <w:rFonts w:cs="Arial"/>
          <w:color w:val="222222"/>
        </w:rPr>
        <w:t xml:space="preserve"> (especially recently)</w:t>
      </w:r>
      <w:r>
        <w:rPr>
          <w:rFonts w:cs="Arial"/>
          <w:color w:val="222222"/>
        </w:rPr>
        <w:t xml:space="preserve"> based on prior analyses</w:t>
      </w:r>
      <w:r w:rsidR="00A94A1D">
        <w:rPr>
          <w:rFonts w:cs="Arial"/>
          <w:color w:val="222222"/>
        </w:rPr>
        <w:t xml:space="preserve"> (Shelton et al 2018)</w:t>
      </w:r>
      <w:r>
        <w:rPr>
          <w:rFonts w:cs="Arial"/>
          <w:color w:val="222222"/>
        </w:rPr>
        <w:t>. We have added the following to the Study sites 2.1 description:</w:t>
      </w:r>
    </w:p>
    <w:p w:rsidR="009A0F01" w:rsidRPr="006B7C4D" w:rsidRDefault="009A0F01">
      <w:pPr>
        <w:rPr>
          <w:rFonts w:cs="Arial"/>
          <w:color w:val="222222"/>
        </w:rPr>
      </w:pPr>
      <w:r w:rsidRPr="009A0F01">
        <w:rPr>
          <w:rFonts w:cs="Arial"/>
          <w:color w:val="222222"/>
          <w:highlight w:val="yellow"/>
        </w:rPr>
        <w:t>Line 219.</w:t>
      </w:r>
      <w:r>
        <w:rPr>
          <w:rFonts w:cs="Arial"/>
          <w:color w:val="222222"/>
        </w:rPr>
        <w:t xml:space="preserve"> “</w:t>
      </w:r>
      <w:r>
        <w:t xml:space="preserve">Previous work suggests that wave exposure was not important in explaining variability in kelp cover among these sites </w: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 </w:instrTex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EN.CITE.DATA </w:instrText>
      </w:r>
      <w:r>
        <w:fldChar w:fldCharType="end"/>
      </w:r>
      <w:r>
        <w:fldChar w:fldCharType="separate"/>
      </w:r>
      <w:r>
        <w:rPr>
          <w:noProof/>
        </w:rPr>
        <w:t>(Shelton et al. 2018)</w:t>
      </w:r>
      <w:r>
        <w:fldChar w:fldCharType="end"/>
      </w:r>
      <w:r>
        <w:t>, likely because these sites were initially selected to be somewhat protected from wave action</w:t>
      </w:r>
      <w:r w:rsidR="000E0215">
        <w:t xml:space="preserve"> to allow for dive surveys</w:t>
      </w:r>
      <w:r>
        <w:t xml:space="preserve"> </w:t>
      </w:r>
      <w:r>
        <w:fldChar w:fldCharType="begin"/>
      </w:r>
      <w:r>
        <w:instrText xml:space="preserve"> ADDIN EN.CITE &lt;EndNote&gt;&lt;Cite&gt;&lt;Author&gt;Kvitek&lt;/Author&gt;&lt;Year&gt;1989&lt;/Year&gt;&lt;RecNum&gt;9310&lt;/RecNum&gt;&lt;DisplayText&gt;(Kvitek et al. 1989)&lt;/DisplayText&gt;&lt;record&gt;&lt;rec-number&gt;9310&lt;/rec-number&gt;&lt;foreign-keys&gt;&lt;key app="EN" db-id="prxrzzvdy0x2s4ee00qpxptadsswa02rwx0p" timestamp="1663284434"&gt;9310&lt;/key&gt;&lt;/foreign-keys&gt;&lt;ref-type name="Journal Article"&gt;17&lt;/ref-type&gt;&lt;contributors&gt;&lt;authors&gt;&lt;author&gt;Kvitek, Rikk G.&lt;/author&gt;&lt;author&gt;Shull, David&lt;/author&gt;&lt;author&gt;Canestro, Don&lt;/author&gt;&lt;author&gt;Bowlby, Edward C.&lt;/author&gt;&lt;author&gt;Troutman, Barry L.&lt;/author&gt;&lt;/authors&gt;&lt;/contributors&gt;&lt;titles&gt;&lt;title&gt;SEA OTTERS AND BENTHIC PREY COMMUNITIES IN WASHINGTON STATE&lt;/title&gt;&lt;secondary-title&gt;Marine Mammal Science&lt;/secondary-title&gt;&lt;/titles&gt;&lt;periodical&gt;&lt;full-title&gt;Marine Mammal Science&lt;/full-title&gt;&lt;/periodical&gt;&lt;pages&gt;266-280&lt;/pages&gt;&lt;volume&gt;5&lt;/volume&gt;&lt;number&gt;3&lt;/number&gt;&lt;dates&gt;&lt;year&gt;1989&lt;/year&gt;&lt;/dates&gt;&lt;isbn&gt;0824-0469&lt;/isbn&gt;&lt;urls&gt;&lt;related-urls&gt;&lt;url&gt;https://onlinelibrary.wiley.com/doi/abs/10.1111/j.1748-7692.1989.tb00340.x&lt;/url&gt;&lt;/related-urls&gt;&lt;/urls&gt;&lt;electronic-resource-num&gt;https://doi.org/10.1111/j.1748-7692.1989.tb00340.x&lt;/electronic-resource-num&gt;&lt;/record&gt;&lt;/Cite&gt;&lt;/EndNote&gt;</w:instrText>
      </w:r>
      <w:r>
        <w:fldChar w:fldCharType="separate"/>
      </w:r>
      <w:r>
        <w:rPr>
          <w:noProof/>
        </w:rPr>
        <w:t>(Kvitek et al. 1989)</w:t>
      </w:r>
      <w:r>
        <w:fldChar w:fldCharType="end"/>
      </w:r>
      <w:r>
        <w:t>.”</w:t>
      </w:r>
    </w:p>
    <w:p w:rsidR="000348C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simples solution is, instead of looking at correlation, to look at change in kelp and change in urchins. I believe there is enough data here for this analysis, and looking at the relationship between change should be highly illuminating and greatly strengthen any arguments made here.</w:t>
      </w:r>
    </w:p>
    <w:p w:rsidR="001D0EF5" w:rsidRDefault="001D0EF5">
      <w:pPr>
        <w:rPr>
          <w:rFonts w:cs="Arial"/>
          <w:color w:val="222222"/>
          <w:shd w:val="clear" w:color="auto" w:fill="FFFFFF"/>
        </w:rPr>
      </w:pPr>
      <w:r>
        <w:rPr>
          <w:rFonts w:cs="Arial"/>
          <w:color w:val="222222"/>
          <w:shd w:val="clear" w:color="auto" w:fill="FFFFFF"/>
        </w:rPr>
        <w:t xml:space="preserve">We appreciate the suggestion for a panel analysis, aka. Random-effects-within-between (REWB) model as outlined in Bell’s work. The approach is an interesting one. </w:t>
      </w:r>
    </w:p>
    <w:p w:rsidR="001D0EF5" w:rsidRDefault="001D0EF5">
      <w:pPr>
        <w:rPr>
          <w:rFonts w:cs="Arial"/>
          <w:color w:val="222222"/>
          <w:shd w:val="clear" w:color="auto" w:fill="FFFFFF"/>
        </w:rPr>
      </w:pPr>
    </w:p>
    <w:p w:rsidR="006B7C4D" w:rsidRDefault="001D0EF5">
      <w:pPr>
        <w:rPr>
          <w:rFonts w:cs="Arial"/>
          <w:b/>
          <w:color w:val="222222"/>
          <w:shd w:val="clear" w:color="auto" w:fill="FFFFFF"/>
        </w:rPr>
      </w:pPr>
      <w:r>
        <w:rPr>
          <w:rFonts w:cs="Arial"/>
          <w:color w:val="222222"/>
          <w:shd w:val="clear" w:color="auto" w:fill="FFFFFF"/>
        </w:rPr>
        <w:t xml:space="preserve">We have added a REWB analysis to the MS . However, we have limited this analysis to the </w:t>
      </w:r>
      <w:proofErr w:type="spellStart"/>
      <w:r>
        <w:rPr>
          <w:rFonts w:cs="Arial"/>
          <w:color w:val="222222"/>
          <w:shd w:val="clear" w:color="auto" w:fill="FFFFFF"/>
        </w:rPr>
        <w:t>Tatoosh</w:t>
      </w:r>
      <w:proofErr w:type="spellEnd"/>
      <w:r>
        <w:rPr>
          <w:rFonts w:cs="Arial"/>
          <w:color w:val="222222"/>
          <w:shd w:val="clear" w:color="auto" w:fill="FFFFFF"/>
        </w:rPr>
        <w:t xml:space="preserve"> Island site for data reasons—</w:t>
      </w:r>
      <w:proofErr w:type="spellStart"/>
      <w:r>
        <w:rPr>
          <w:rFonts w:cs="Arial"/>
          <w:color w:val="222222"/>
          <w:shd w:val="clear" w:color="auto" w:fill="FFFFFF"/>
        </w:rPr>
        <w:t>Tatoosh</w:t>
      </w:r>
      <w:proofErr w:type="spellEnd"/>
      <w:r>
        <w:rPr>
          <w:rFonts w:cs="Arial"/>
          <w:color w:val="222222"/>
          <w:shd w:val="clear" w:color="auto" w:fill="FFFFFF"/>
        </w:rPr>
        <w:t xml:space="preserve"> was the only location in which urchins were really present and showed large fluctuations in biomass (see figures in the Supplement). </w:t>
      </w:r>
      <w:r w:rsidR="00D009F0" w:rsidRPr="000348C9">
        <w:rPr>
          <w:rFonts w:cs="Arial"/>
          <w:color w:val="222222"/>
        </w:rPr>
        <w:br/>
      </w:r>
      <w:r w:rsidR="00D009F0" w:rsidRPr="00D009F0">
        <w:rPr>
          <w:rFonts w:cs="Arial"/>
          <w:b/>
          <w:color w:val="222222"/>
        </w:rPr>
        <w:br/>
      </w:r>
      <w:r w:rsidR="00D009F0" w:rsidRPr="00D009F0">
        <w:rPr>
          <w:rFonts w:cs="Arial"/>
          <w:b/>
          <w:color w:val="222222"/>
          <w:shd w:val="clear" w:color="auto" w:fill="FFFFFF"/>
        </w:rPr>
        <w:t xml:space="preserve">4. While I understand the presentation of regional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Pr>
          <w:rFonts w:cs="Arial"/>
          <w:color w:val="222222"/>
          <w:shd w:val="clear" w:color="auto" w:fill="FFFFFF"/>
        </w:rPr>
        <w:t xml:space="preserve"> figures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lastRenderedPageBreak/>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Default="008222A0">
      <w:pPr>
        <w:rPr>
          <w:rFonts w:cs="Arial"/>
          <w:b/>
          <w:color w:val="222222"/>
          <w:shd w:val="clear" w:color="auto" w:fill="FFFFFF"/>
        </w:rPr>
      </w:pP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8222A0">
        <w:rPr>
          <w:rFonts w:cs="Arial"/>
          <w:color w:val="222222"/>
          <w:highlight w:val="yellow"/>
        </w:rPr>
        <w:t>Line XXX</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several lines earlier at line 524 (</w:t>
      </w:r>
      <w:r w:rsidRPr="008222A0">
        <w:rPr>
          <w:rFonts w:cs="Arial"/>
          <w:color w:val="222222"/>
          <w:highlight w:val="yellow"/>
        </w:rPr>
        <w:t>now line 596)</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536 </w:t>
      </w:r>
      <w:r w:rsidR="006479F8">
        <w:rPr>
          <w:rFonts w:cs="Arial"/>
          <w:b/>
          <w:color w:val="222222"/>
          <w:shd w:val="clear" w:color="auto" w:fill="FFFFFF"/>
        </w:rPr>
        <w:t>(</w:t>
      </w:r>
      <w:r w:rsidR="006479F8" w:rsidRPr="006479F8">
        <w:rPr>
          <w:rFonts w:cs="Arial"/>
          <w:b/>
          <w:color w:val="222222"/>
          <w:highlight w:val="yellow"/>
          <w:shd w:val="clear" w:color="auto" w:fill="FFFFFF"/>
        </w:rPr>
        <w:t>610</w:t>
      </w:r>
      <w:r w:rsidR="006479F8">
        <w:rPr>
          <w:rFonts w:cs="Arial"/>
          <w:b/>
          <w:color w:val="222222"/>
          <w:shd w:val="clear" w:color="auto" w:fill="FFFFFF"/>
        </w:rPr>
        <w:t xml:space="preserve">) </w:t>
      </w:r>
      <w:r w:rsidRPr="00D009F0">
        <w:rPr>
          <w:rFonts w:cs="Arial"/>
          <w:b/>
          <w:color w:val="222222"/>
          <w:shd w:val="clear" w:color="auto" w:fill="FFFFFF"/>
        </w:rPr>
        <w:t>-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rsidR="00980F31">
        <w:t xml:space="preserve"> </w:t>
      </w:r>
    </w:p>
    <w:p w:rsidR="00980F31" w:rsidRDefault="00980F31">
      <w:r>
        <w:t>The potential impact of otters is discussed in paragraph.</w:t>
      </w:r>
    </w:p>
    <w:p w:rsidR="006479F8" w:rsidRDefault="006479F8">
      <w:pPr>
        <w:rPr>
          <w:rFonts w:cs="Arial"/>
          <w:b/>
          <w:color w:val="222222"/>
          <w:shd w:val="clear" w:color="auto" w:fill="FFFFFF"/>
        </w:rPr>
      </w:pPr>
      <w:r>
        <w:t xml:space="preserve">We have also done some additional editing to this paragraph to improve on its clarity. </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r w:rsidRPr="00A91128">
        <w:rPr>
          <w:rFonts w:cs="Arial"/>
          <w:color w:val="222222"/>
          <w:shd w:val="clear" w:color="auto" w:fill="FFFFFF"/>
        </w:rPr>
        <w:t>updated</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w:t>
      </w:r>
      <w:r w:rsidR="00D009F0" w:rsidRPr="00D009F0">
        <w:rPr>
          <w:rFonts w:cs="Arial"/>
          <w:b/>
          <w:color w:val="222222"/>
          <w:shd w:val="clear" w:color="auto" w:fill="FFFFFF"/>
        </w:rPr>
        <w:lastRenderedPageBreak/>
        <w:t xml:space="preserve">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1D0EF5" w:rsidRDefault="001D0EF5" w:rsidP="001D0EF5">
      <w:pPr>
        <w:rPr>
          <w:rFonts w:cs="Arial"/>
          <w:color w:val="222222"/>
          <w:shd w:val="clear" w:color="auto" w:fill="FFFFFF"/>
        </w:rPr>
      </w:pPr>
      <w:r>
        <w:rPr>
          <w:rFonts w:cs="Arial"/>
          <w:color w:val="222222"/>
          <w:shd w:val="clear" w:color="auto" w:fill="FFFFFF"/>
        </w:rPr>
        <w:t xml:space="preserve">No. In the initial sampling, we counted stipes of a specific length regardless of health. We have since begun to record whether the frond was missing (presumably consumed). However, we cannot provide those data for this manuscript. The designation would pertain primarily to </w:t>
      </w:r>
      <w:proofErr w:type="spellStart"/>
      <w:r w:rsidRPr="001D0EF5">
        <w:rPr>
          <w:rFonts w:cs="Arial"/>
          <w:i/>
          <w:color w:val="222222"/>
          <w:shd w:val="clear" w:color="auto" w:fill="FFFFFF"/>
        </w:rPr>
        <w:t>Pterygophora</w:t>
      </w:r>
      <w:proofErr w:type="spellEnd"/>
      <w:r>
        <w:rPr>
          <w:rFonts w:cs="Arial"/>
          <w:color w:val="222222"/>
          <w:shd w:val="clear" w:color="auto" w:fill="FFFFFF"/>
        </w:rPr>
        <w:t>, which is more likely to have an intact stipe but missing frond.</w:t>
      </w:r>
      <w:r w:rsidR="00E01C89">
        <w:rPr>
          <w:rFonts w:cs="Arial"/>
          <w:color w:val="222222"/>
          <w:shd w:val="clear" w:color="auto" w:fill="FFFFFF"/>
        </w:rPr>
        <w:t xml:space="preserve"> Noted in line </w:t>
      </w:r>
      <w:r w:rsidR="00E01C89" w:rsidRPr="00E01C89">
        <w:rPr>
          <w:rFonts w:cs="Arial"/>
          <w:color w:val="222222"/>
          <w:highlight w:val="yellow"/>
          <w:shd w:val="clear" w:color="auto" w:fill="FFFFFF"/>
        </w:rPr>
        <w:t>XXX</w:t>
      </w:r>
      <w:r w:rsidR="00E01C89">
        <w:rPr>
          <w:rFonts w:cs="Arial"/>
          <w:color w:val="222222"/>
          <w:shd w:val="clear" w:color="auto" w:fill="FFFFFF"/>
        </w:rPr>
        <w:t>.</w:t>
      </w:r>
      <w:bookmarkStart w:id="0" w:name="_GoBack"/>
      <w:bookmarkEnd w:id="0"/>
    </w:p>
    <w:p w:rsidR="00656A4D" w:rsidRDefault="00D009F0" w:rsidP="001D0EF5">
      <w:pPr>
        <w:rPr>
          <w:rFonts w:cs="Arial"/>
          <w:b/>
          <w:color w:val="222222"/>
          <w:shd w:val="clear" w:color="auto" w:fill="FFFFFF"/>
        </w:rPr>
      </w:pP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w:t>
      </w:r>
      <w:r w:rsidRPr="00D009F0">
        <w:rPr>
          <w:rFonts w:cs="Arial"/>
          <w:b/>
          <w:color w:val="222222"/>
          <w:shd w:val="clear" w:color="auto" w:fill="FFFFFF"/>
        </w:rPr>
        <w:lastRenderedPageBreak/>
        <w:t>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w:t>
      </w:r>
      <w:r w:rsidR="004A5F3D">
        <w:rPr>
          <w:rFonts w:cs="Arial"/>
          <w:color w:val="222222"/>
          <w:shd w:val="clear" w:color="auto" w:fill="FFFFFF"/>
        </w:rPr>
        <w:t>THE</w:t>
      </w:r>
      <w:r>
        <w:rPr>
          <w:rFonts w:cs="Arial"/>
          <w:color w:val="222222"/>
          <w:shd w:val="clear" w:color="auto" w:fill="FFFFFF"/>
        </w:rPr>
        <w:t xml:space="preserve"> 2014-2016 MHW.  The 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286EBF">
        <w:rPr>
          <w:rFonts w:cs="Arial"/>
          <w:color w:val="222222"/>
          <w:shd w:val="clear" w:color="auto" w:fill="FFFFFF"/>
        </w:rPr>
        <w:t xml:space="preserve">.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to 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‘focus’.</w:t>
      </w:r>
      <w:r w:rsidRPr="00D009F0">
        <w:rPr>
          <w:rFonts w:cs="Arial"/>
          <w:b/>
          <w:color w:val="222222"/>
        </w:rPr>
        <w:br/>
      </w:r>
    </w:p>
    <w:p w:rsidR="00155BE5" w:rsidRPr="00155BE5" w:rsidRDefault="00155BE5">
      <w:pPr>
        <w:rPr>
          <w:rFonts w:cs="Arial"/>
          <w:color w:val="222222"/>
        </w:rPr>
      </w:pPr>
      <w:r w:rsidRPr="00155BE5">
        <w:rPr>
          <w:rFonts w:cs="Arial"/>
          <w:color w:val="222222"/>
        </w:rPr>
        <w:lastRenderedPageBreak/>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 ‘s’</w:t>
      </w:r>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names of urchins have been linked to common names before this paragraph? It would be good include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r w:rsidRPr="00E14D9E">
        <w:rPr>
          <w:rFonts w:cs="Arial"/>
          <w:color w:val="222222"/>
          <w:shd w:val="clear" w:color="auto" w:fill="FFFFFF"/>
        </w:rPr>
        <w:t>upated</w:t>
      </w:r>
      <w:proofErr w:type="spell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substantial  impacts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r w:rsidRPr="00D009F0">
        <w:rPr>
          <w:rFonts w:cs="Arial"/>
          <w:b/>
          <w:color w:val="222222"/>
          <w:shd w:val="clear" w:color="auto" w:fill="FFFFFF"/>
        </w:rPr>
        <w:t>ces</w:t>
      </w:r>
      <w:proofErr w:type="spell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sidRPr="00DC4930">
        <w:rPr>
          <w:rFonts w:cs="Arial"/>
          <w:color w:val="222222"/>
          <w:shd w:val="clear" w:color="auto" w:fill="FFFF00"/>
        </w:rPr>
        <w:t>“</w:t>
      </w:r>
      <w:r w:rsidRPr="00DC4930">
        <w:rPr>
          <w:rFonts w:cs="Arial"/>
          <w:color w:val="222222"/>
          <w:shd w:val="clear" w:color="auto" w:fill="FFFF00"/>
          <w:lang w:val="en"/>
        </w:rPr>
        <w:t xml:space="preserve">Both </w:t>
      </w:r>
      <w:proofErr w:type="spellStart"/>
      <w:r w:rsidRPr="00DC4930">
        <w:rPr>
          <w:rFonts w:cs="Arial"/>
          <w:i/>
          <w:color w:val="222222"/>
          <w:shd w:val="clear" w:color="auto" w:fill="FFFF00"/>
          <w:lang w:val="en"/>
        </w:rPr>
        <w:t>Macrocystis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and </w:t>
      </w:r>
      <w:proofErr w:type="spellStart"/>
      <w:r w:rsidRPr="00DC4930">
        <w:rPr>
          <w:rFonts w:cs="Arial"/>
          <w:i/>
          <w:color w:val="222222"/>
          <w:shd w:val="clear" w:color="auto" w:fill="FFFF00"/>
          <w:lang w:val="en"/>
        </w:rPr>
        <w:t>Nereocystis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are far from their range margins in Washington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(Smale 2020)</w:t>
      </w:r>
      <w:r w:rsidRPr="00DC4930">
        <w:rPr>
          <w:rFonts w:cs="Arial"/>
          <w:color w:val="222222"/>
          <w:shd w:val="clear" w:color="auto" w:fill="FFFF00"/>
        </w:rPr>
        <w:fldChar w:fldCharType="end"/>
      </w:r>
      <w:r w:rsidRPr="00DC4930">
        <w:rPr>
          <w:rFonts w:cs="Arial"/>
          <w:color w:val="222222"/>
          <w:shd w:val="clear" w:color="auto" w:fill="FFFF00"/>
          <w:lang w:val="en"/>
        </w:rPr>
        <w:t xml:space="preserve"> so we might expect them to be well within their thermal thresholds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(Burrows et al. 2020)</w:t>
      </w:r>
      <w:r w:rsidRPr="00DC4930">
        <w:rPr>
          <w:rFonts w:cs="Arial"/>
          <w:color w:val="222222"/>
          <w:shd w:val="clear" w:color="auto" w:fill="FFFF00"/>
        </w:rPr>
        <w:fldChar w:fldCharType="end"/>
      </w:r>
      <w:r w:rsidRPr="00DC4930">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3D5989" w:rsidRDefault="003D5989">
      <w:pPr>
        <w:rPr>
          <w:rFonts w:cs="Arial"/>
          <w:color w:val="222222"/>
          <w:shd w:val="clear" w:color="auto" w:fill="FFFFFF"/>
        </w:rPr>
      </w:pPr>
      <w:r>
        <w:rPr>
          <w:rFonts w:cs="Arial"/>
          <w:color w:val="222222"/>
          <w:shd w:val="clear" w:color="auto" w:fill="FFFFFF"/>
        </w:rPr>
        <w:t>We are unaware of information on the timing of reproduction and settlement off the Washington Coast. Most of the information comes from California.  The gonadal index for purple urchins in southern California is highest in October and November following feeding in the summer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Tegner</w:t>
      </w:r>
      <w:proofErr w:type="spellEnd"/>
      <w:r>
        <w:rPr>
          <w:rFonts w:cs="Arial"/>
          <w:color w:val="222222"/>
          <w:shd w:val="clear" w:color="auto" w:fill="FFFFFF"/>
        </w:rPr>
        <w:t xml:space="preserve"> 2007). </w:t>
      </w:r>
      <w:r w:rsidR="00CA7BDD">
        <w:rPr>
          <w:rFonts w:cs="Arial"/>
          <w:color w:val="222222"/>
          <w:shd w:val="clear" w:color="auto" w:fill="FFFFFF"/>
        </w:rPr>
        <w:t xml:space="preserve">So we might expect </w:t>
      </w:r>
      <w:proofErr w:type="spellStart"/>
      <w:r w:rsidR="00CA7BDD">
        <w:rPr>
          <w:rFonts w:cs="Arial"/>
          <w:color w:val="222222"/>
          <w:shd w:val="clear" w:color="auto" w:fill="FFFFFF"/>
        </w:rPr>
        <w:t>spanwing</w:t>
      </w:r>
      <w:proofErr w:type="spellEnd"/>
      <w:r w:rsidR="00CA7BDD">
        <w:rPr>
          <w:rFonts w:cs="Arial"/>
          <w:color w:val="222222"/>
          <w:shd w:val="clear" w:color="auto" w:fill="FFFFFF"/>
        </w:rPr>
        <w:t xml:space="preserve"> to occur sometime in the winter or early spring. In </w:t>
      </w:r>
      <w:r>
        <w:rPr>
          <w:rFonts w:cs="Arial"/>
          <w:color w:val="222222"/>
          <w:shd w:val="clear" w:color="auto" w:fill="FFFFFF"/>
        </w:rPr>
        <w:t xml:space="preserve">Central through Baha California, the annual reproductive cycle seems to be the same (as noted in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Tenger</w:t>
      </w:r>
      <w:proofErr w:type="spellEnd"/>
      <w:r>
        <w:rPr>
          <w:rFonts w:cs="Arial"/>
          <w:color w:val="222222"/>
          <w:shd w:val="clear" w:color="auto" w:fill="FFFFFF"/>
        </w:rPr>
        <w:t xml:space="preserve"> 2007), probably due to the need to feed during the summer/early fall when kelp, and drift kelp, are abundant.  So we might expect similar patterns in WA.  </w:t>
      </w:r>
    </w:p>
    <w:p w:rsidR="00143EDC" w:rsidRDefault="00CA7BDD">
      <w:pPr>
        <w:rPr>
          <w:rFonts w:cs="Arial"/>
          <w:color w:val="222222"/>
          <w:shd w:val="clear" w:color="auto" w:fill="FFFFFF"/>
        </w:rPr>
      </w:pPr>
      <w:r>
        <w:rPr>
          <w:rFonts w:cs="Arial"/>
          <w:color w:val="222222"/>
          <w:shd w:val="clear" w:color="auto" w:fill="FFFFFF"/>
        </w:rPr>
        <w:t>Recruitment is less clear. L</w:t>
      </w:r>
      <w:r w:rsidR="00384CCB" w:rsidRPr="00384CCB">
        <w:rPr>
          <w:rFonts w:cs="Arial"/>
          <w:color w:val="222222"/>
          <w:shd w:val="clear" w:color="auto" w:fill="FFFFFF"/>
        </w:rPr>
        <w:t>arvae can spends weeks to months in the plankton where they feed on phytoplankton</w:t>
      </w:r>
      <w:r>
        <w:rPr>
          <w:rFonts w:cs="Arial"/>
          <w:color w:val="222222"/>
          <w:shd w:val="clear" w:color="auto" w:fill="FFFFFF"/>
        </w:rPr>
        <w:t>, and the timing of settlement appears related to the spring phytoplankton bloom (Okamoto 2020)</w:t>
      </w:r>
      <w:r w:rsidR="00384CCB" w:rsidRPr="00384CCB">
        <w:rPr>
          <w:rFonts w:cs="Arial"/>
          <w:color w:val="222222"/>
          <w:shd w:val="clear" w:color="auto" w:fill="FFFFFF"/>
        </w:rPr>
        <w:t>.</w:t>
      </w:r>
      <w:r w:rsidR="00384CCB">
        <w:rPr>
          <w:rFonts w:cs="Arial"/>
          <w:color w:val="222222"/>
          <w:shd w:val="clear" w:color="auto" w:fill="FFFFFF"/>
        </w:rPr>
        <w:t xml:space="preserve">  </w:t>
      </w:r>
      <w:r w:rsidR="00143EDC" w:rsidRPr="00143EDC">
        <w:rPr>
          <w:rFonts w:cs="Arial"/>
          <w:color w:val="222222"/>
          <w:shd w:val="clear" w:color="auto" w:fill="FFFFFF"/>
        </w:rPr>
        <w:t>In California settlement occurs in</w:t>
      </w:r>
      <w:r>
        <w:rPr>
          <w:rFonts w:cs="Arial"/>
          <w:color w:val="222222"/>
          <w:shd w:val="clear" w:color="auto" w:fill="FFFFFF"/>
        </w:rPr>
        <w:t xml:space="preserve"> ca.</w:t>
      </w:r>
      <w:r w:rsidR="00143EDC" w:rsidRPr="00143EDC">
        <w:rPr>
          <w:rFonts w:cs="Arial"/>
          <w:color w:val="222222"/>
          <w:shd w:val="clear" w:color="auto" w:fill="FFFFFF"/>
        </w:rPr>
        <w:t xml:space="preserve"> May in many areas </w:t>
      </w:r>
      <w:r w:rsidR="00384CCB">
        <w:rPr>
          <w:rFonts w:cs="Arial"/>
          <w:color w:val="222222"/>
          <w:shd w:val="clear" w:color="auto" w:fill="FFFFFF"/>
        </w:rPr>
        <w:t xml:space="preserve">in the south. However, in the north, settlement occurs in both </w:t>
      </w:r>
      <w:r>
        <w:rPr>
          <w:rFonts w:cs="Arial"/>
          <w:color w:val="222222"/>
          <w:shd w:val="clear" w:color="auto" w:fill="FFFFFF"/>
        </w:rPr>
        <w:t>March and July (Okam</w:t>
      </w:r>
      <w:r w:rsidR="003D5989">
        <w:rPr>
          <w:rFonts w:cs="Arial"/>
          <w:color w:val="222222"/>
          <w:shd w:val="clear" w:color="auto" w:fill="FFFFFF"/>
        </w:rPr>
        <w:t>oto</w:t>
      </w:r>
      <w:r>
        <w:rPr>
          <w:rFonts w:cs="Arial"/>
          <w:color w:val="222222"/>
          <w:shd w:val="clear" w:color="auto" w:fill="FFFFFF"/>
        </w:rPr>
        <w:t xml:space="preserve"> 2020)</w:t>
      </w:r>
      <w:r w:rsidR="00143EDC" w:rsidRPr="00143EDC">
        <w:rPr>
          <w:rFonts w:cs="Arial"/>
          <w:color w:val="222222"/>
          <w:shd w:val="clear" w:color="auto" w:fill="FFFFFF"/>
        </w:rPr>
        <w:t xml:space="preserve">. </w:t>
      </w:r>
      <w:r w:rsidR="003D5989">
        <w:rPr>
          <w:rFonts w:cs="Arial"/>
          <w:color w:val="222222"/>
          <w:shd w:val="clear" w:color="auto" w:fill="FFFFFF"/>
        </w:rPr>
        <w:t xml:space="preserve">This latitudinal variation makes extrapolating to the WA coast somewhat difficult. </w:t>
      </w:r>
    </w:p>
    <w:p w:rsidR="00D46A70" w:rsidRDefault="00D46A70">
      <w:pPr>
        <w:rPr>
          <w:rFonts w:cs="Arial"/>
          <w:color w:val="222222"/>
          <w:shd w:val="clear" w:color="auto" w:fill="FFFFFF"/>
        </w:rPr>
      </w:pPr>
      <w:r>
        <w:rPr>
          <w:rFonts w:cs="Arial"/>
          <w:color w:val="222222"/>
          <w:shd w:val="clear" w:color="auto" w:fill="FFFFFF"/>
        </w:rPr>
        <w:t>There does appear to be an upper limit to gametogenesis around 17C, but temperatures did not approach that threshold on the WA coast, rarely passing 15C.</w:t>
      </w:r>
    </w:p>
    <w:p w:rsidR="00CA7BDD" w:rsidRDefault="00CA7BDD">
      <w:pPr>
        <w:rPr>
          <w:rFonts w:cs="Arial"/>
          <w:color w:val="222222"/>
          <w:shd w:val="clear" w:color="auto" w:fill="FFFFFF"/>
        </w:rPr>
      </w:pPr>
      <w:r>
        <w:rPr>
          <w:rFonts w:cs="Arial"/>
          <w:color w:val="222222"/>
          <w:shd w:val="clear" w:color="auto" w:fill="FFFFFF"/>
        </w:rPr>
        <w:t xml:space="preserve">We have added the following to at least direct the reader to relevant literature: </w:t>
      </w:r>
    </w:p>
    <w:p w:rsidR="00CA7BDD" w:rsidRPr="00CA7BDD" w:rsidRDefault="00CA7BDD">
      <w:pPr>
        <w:rPr>
          <w:rFonts w:ascii="Times New Roman" w:hAnsi="Times New Roman"/>
        </w:rPr>
      </w:pPr>
      <w:r>
        <w:rPr>
          <w:rFonts w:cs="Arial"/>
          <w:color w:val="222222"/>
          <w:shd w:val="clear" w:color="auto" w:fill="FFFFFF"/>
        </w:rPr>
        <w:lastRenderedPageBreak/>
        <w:t>“</w:t>
      </w:r>
      <w:r w:rsidRPr="00CA7BDD">
        <w:t>In southern California, gonadal indices for purple urchins tend to peak in October and November following summer feeding, so warm waters in the fall might impact gamete production (</w:t>
      </w:r>
      <w:proofErr w:type="spellStart"/>
      <w:r w:rsidRPr="00CA7BDD">
        <w:t>Basch</w:t>
      </w:r>
      <w:proofErr w:type="spellEnd"/>
      <w:r w:rsidRPr="00CA7BDD">
        <w:t xml:space="preserve"> &amp; </w:t>
      </w:r>
      <w:proofErr w:type="spellStart"/>
      <w:r w:rsidRPr="00CA7BDD">
        <w:t>Tegner</w:t>
      </w:r>
      <w:proofErr w:type="spellEnd"/>
      <w:r w:rsidRPr="00CA7BDD">
        <w:t xml:space="preserve"> 2007). However, temperatures in Washington did not approach 17°C where gamete storage appears to be reduced (</w:t>
      </w:r>
      <w:proofErr w:type="spellStart"/>
      <w:r w:rsidRPr="00CA7BDD">
        <w:t>Basch</w:t>
      </w:r>
      <w:proofErr w:type="spellEnd"/>
      <w:r w:rsidRPr="00CA7BDD">
        <w:t xml:space="preserve"> &amp; </w:t>
      </w:r>
      <w:proofErr w:type="spellStart"/>
      <w:r w:rsidRPr="00CA7BDD">
        <w:t>Tegner</w:t>
      </w:r>
      <w:proofErr w:type="spellEnd"/>
      <w:r w:rsidRPr="00CA7BDD">
        <w:t xml:space="preserve"> 2007).</w:t>
      </w:r>
      <w: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5E3E7C" w:rsidRDefault="00E85865">
      <w:pPr>
        <w:rPr>
          <w:rFonts w:cs="Arial"/>
          <w:color w:val="222222"/>
          <w:shd w:val="clear" w:color="auto" w:fill="FFFFFF"/>
        </w:rPr>
      </w:pPr>
      <w:r w:rsidRPr="00E85865">
        <w:rPr>
          <w:rFonts w:cs="Arial"/>
          <w:color w:val="222222"/>
          <w:shd w:val="clear" w:color="auto" w:fill="FFFFFF"/>
        </w:rPr>
        <w:t>done</w:t>
      </w:r>
    </w:p>
    <w:p w:rsidR="005E3E7C" w:rsidRDefault="005E3E7C">
      <w:pPr>
        <w:rPr>
          <w:rFonts w:cs="Arial"/>
          <w:color w:val="222222"/>
          <w:shd w:val="clear" w:color="auto" w:fill="FFFFFF"/>
        </w:rPr>
      </w:pPr>
    </w:p>
    <w:p w:rsidR="003530B9" w:rsidRPr="003530B9" w:rsidRDefault="005E3E7C" w:rsidP="003530B9">
      <w:pPr>
        <w:pStyle w:val="EndNoteBibliography"/>
        <w:spacing w:after="0"/>
        <w:ind w:left="720" w:hanging="720"/>
      </w:pPr>
      <w:r>
        <w:fldChar w:fldCharType="begin"/>
      </w:r>
      <w:r>
        <w:instrText xml:space="preserve"> ADDIN EN.REFLIST </w:instrText>
      </w:r>
      <w:r>
        <w:fldChar w:fldCharType="separate"/>
      </w:r>
      <w:r w:rsidR="003530B9" w:rsidRPr="003530B9">
        <w:t>Burrows MT, Hawkins SJ, Moore JJ, Adams L, Sugden H, Firth L, Mieszkowska N (2020) Global‐scale species distributions predict temperature‐related changes in species composition of rocky shore communities in Britain. Global Change Biol 26:2093-2105</w:t>
      </w:r>
    </w:p>
    <w:p w:rsidR="003530B9" w:rsidRPr="003530B9" w:rsidRDefault="003530B9" w:rsidP="003530B9">
      <w:pPr>
        <w:pStyle w:val="EndNoteBibliography"/>
        <w:spacing w:after="0"/>
        <w:ind w:left="720" w:hanging="720"/>
      </w:pPr>
      <w:r w:rsidRPr="003530B9">
        <w:t>Kvitek RG, Shull D, Canestro D, Bowlby EC, Troutman BL (1989) SEA OTTERS AND BENTHIC PREY COMMUNITIES IN WASHINGTON STATE. Marine Mammal Science 5:266-280</w:t>
      </w:r>
    </w:p>
    <w:p w:rsidR="003530B9" w:rsidRPr="003530B9" w:rsidRDefault="003530B9" w:rsidP="003530B9">
      <w:pPr>
        <w:pStyle w:val="EndNoteBibliography"/>
        <w:spacing w:after="0"/>
        <w:ind w:left="720" w:hanging="720"/>
      </w:pPr>
      <w:r w:rsidRPr="003530B9">
        <w:t>Shelton AO, Harvey CJ, Samhouri JF, Andrews KS, Feist BE, Frick KE, Tolimieri N, Williams GD, Antrim LD, Berry HD (2018) From the predictable to the unexpected: kelp forest and benthic invertebrate community dynamics following decades of sea otter expansion. Oecologia 188:1105-1119</w:t>
      </w:r>
    </w:p>
    <w:p w:rsidR="003530B9" w:rsidRPr="003530B9" w:rsidRDefault="003530B9" w:rsidP="003530B9">
      <w:pPr>
        <w:pStyle w:val="EndNoteBibliography"/>
        <w:ind w:left="720" w:hanging="720"/>
      </w:pPr>
      <w:r w:rsidRPr="003530B9">
        <w:t>Smale DA (2020) Impacts of ocean warming on kelp forest ecosystems. New Phytologist 225:1447-1454</w:t>
      </w:r>
    </w:p>
    <w:p w:rsidR="00E85865" w:rsidRPr="00E85865" w:rsidRDefault="005E3E7C">
      <w:r>
        <w:fldChar w:fldCharType="end"/>
      </w:r>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6D1"/>
    <w:multiLevelType w:val="hybridMultilevel"/>
    <w:tmpl w:val="6CFEAC0E"/>
    <w:lvl w:ilvl="0" w:tplc="DA5A264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2FDA30C6">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xrzzvdy0x2s4ee00qpxptadsswa02rwx0p&quot;&gt;References&lt;record-ids&gt;&lt;item&gt;7421&lt;/item&gt;&lt;item&gt;9285&lt;/item&gt;&lt;item&gt;9310&lt;/item&gt;&lt;/record-ids&gt;&lt;/item&gt;&lt;/Libraries&gt;"/>
  </w:docVars>
  <w:rsids>
    <w:rsidRoot w:val="00D009F0"/>
    <w:rsid w:val="00004905"/>
    <w:rsid w:val="000054AA"/>
    <w:rsid w:val="000348C9"/>
    <w:rsid w:val="000407C0"/>
    <w:rsid w:val="0009445B"/>
    <w:rsid w:val="000C311F"/>
    <w:rsid w:val="000E0215"/>
    <w:rsid w:val="00122374"/>
    <w:rsid w:val="00143EDC"/>
    <w:rsid w:val="00155BE5"/>
    <w:rsid w:val="001D0EF5"/>
    <w:rsid w:val="002374BE"/>
    <w:rsid w:val="00247E5D"/>
    <w:rsid w:val="00253B9A"/>
    <w:rsid w:val="00283BE4"/>
    <w:rsid w:val="00286EBF"/>
    <w:rsid w:val="002F7C49"/>
    <w:rsid w:val="003530B9"/>
    <w:rsid w:val="00373569"/>
    <w:rsid w:val="00374485"/>
    <w:rsid w:val="0038060C"/>
    <w:rsid w:val="00384CCB"/>
    <w:rsid w:val="003D5989"/>
    <w:rsid w:val="003E506C"/>
    <w:rsid w:val="00423941"/>
    <w:rsid w:val="00431538"/>
    <w:rsid w:val="004709D1"/>
    <w:rsid w:val="00485528"/>
    <w:rsid w:val="00485AF3"/>
    <w:rsid w:val="004973D2"/>
    <w:rsid w:val="004A5F3D"/>
    <w:rsid w:val="004E723D"/>
    <w:rsid w:val="00512929"/>
    <w:rsid w:val="005202CE"/>
    <w:rsid w:val="00557453"/>
    <w:rsid w:val="005711B3"/>
    <w:rsid w:val="0059206C"/>
    <w:rsid w:val="00592B48"/>
    <w:rsid w:val="005B4DEA"/>
    <w:rsid w:val="005E3E7C"/>
    <w:rsid w:val="00611287"/>
    <w:rsid w:val="006479F8"/>
    <w:rsid w:val="00656A4D"/>
    <w:rsid w:val="0066571C"/>
    <w:rsid w:val="006B7C4D"/>
    <w:rsid w:val="007247AB"/>
    <w:rsid w:val="00782C73"/>
    <w:rsid w:val="00785030"/>
    <w:rsid w:val="007F1F15"/>
    <w:rsid w:val="008222A0"/>
    <w:rsid w:val="00850F2B"/>
    <w:rsid w:val="008C1938"/>
    <w:rsid w:val="008D7BEE"/>
    <w:rsid w:val="008E4064"/>
    <w:rsid w:val="008F647E"/>
    <w:rsid w:val="00904F1E"/>
    <w:rsid w:val="0097788F"/>
    <w:rsid w:val="00980F31"/>
    <w:rsid w:val="009A0F01"/>
    <w:rsid w:val="00A36618"/>
    <w:rsid w:val="00A61DE2"/>
    <w:rsid w:val="00A84F9D"/>
    <w:rsid w:val="00A91128"/>
    <w:rsid w:val="00A94996"/>
    <w:rsid w:val="00A94A1D"/>
    <w:rsid w:val="00AB2612"/>
    <w:rsid w:val="00B72729"/>
    <w:rsid w:val="00B929B3"/>
    <w:rsid w:val="00C60A83"/>
    <w:rsid w:val="00C755D3"/>
    <w:rsid w:val="00CA7BDD"/>
    <w:rsid w:val="00D009F0"/>
    <w:rsid w:val="00D20269"/>
    <w:rsid w:val="00D46A70"/>
    <w:rsid w:val="00D70C3C"/>
    <w:rsid w:val="00D73324"/>
    <w:rsid w:val="00DC4930"/>
    <w:rsid w:val="00DD0E26"/>
    <w:rsid w:val="00E01C89"/>
    <w:rsid w:val="00E14D9E"/>
    <w:rsid w:val="00E17141"/>
    <w:rsid w:val="00E3301E"/>
    <w:rsid w:val="00E5643A"/>
    <w:rsid w:val="00E70892"/>
    <w:rsid w:val="00E85865"/>
    <w:rsid w:val="00EB4E99"/>
    <w:rsid w:val="00EB7EDD"/>
    <w:rsid w:val="00F41D72"/>
    <w:rsid w:val="00FB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867E"/>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link w:val="ListParagraphChar"/>
    <w:autoRedefine/>
    <w:uiPriority w:val="34"/>
    <w:qFormat/>
    <w:rsid w:val="00253B9A"/>
    <w:pPr>
      <w:numPr>
        <w:numId w:val="1"/>
      </w:numPr>
      <w:spacing w:before="120" w:after="1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 w:type="paragraph" w:customStyle="1" w:styleId="EndNoteBibliographyTitle">
    <w:name w:val="EndNote Bibliography Title"/>
    <w:basedOn w:val="Normal"/>
    <w:link w:val="EndNoteBibliographyTitleChar"/>
    <w:rsid w:val="005E3E7C"/>
    <w:pPr>
      <w:spacing w:after="0"/>
      <w:jc w:val="center"/>
    </w:pPr>
    <w:rPr>
      <w:noProof/>
    </w:rPr>
  </w:style>
  <w:style w:type="character" w:customStyle="1" w:styleId="ListParagraphChar">
    <w:name w:val="List Paragraph Char"/>
    <w:basedOn w:val="DefaultParagraphFont"/>
    <w:link w:val="ListParagraph"/>
    <w:uiPriority w:val="34"/>
    <w:rsid w:val="005E3E7C"/>
    <w:rPr>
      <w:rFonts w:ascii="Cambria" w:hAnsi="Cambria"/>
    </w:rPr>
  </w:style>
  <w:style w:type="character" w:customStyle="1" w:styleId="EndNoteBibliographyTitleChar">
    <w:name w:val="EndNote Bibliography Title Char"/>
    <w:basedOn w:val="ListParagraphChar"/>
    <w:link w:val="EndNoteBibliographyTitle"/>
    <w:rsid w:val="005E3E7C"/>
    <w:rPr>
      <w:rFonts w:ascii="Cambria" w:hAnsi="Cambria"/>
      <w:noProof/>
    </w:rPr>
  </w:style>
  <w:style w:type="paragraph" w:customStyle="1" w:styleId="EndNoteBibliography">
    <w:name w:val="EndNote Bibliography"/>
    <w:basedOn w:val="Normal"/>
    <w:link w:val="EndNoteBibliographyChar"/>
    <w:rsid w:val="005E3E7C"/>
    <w:pPr>
      <w:spacing w:line="240" w:lineRule="auto"/>
    </w:pPr>
    <w:rPr>
      <w:noProof/>
    </w:rPr>
  </w:style>
  <w:style w:type="character" w:customStyle="1" w:styleId="EndNoteBibliographyChar">
    <w:name w:val="EndNote Bibliography Char"/>
    <w:basedOn w:val="ListParagraphChar"/>
    <w:link w:val="EndNoteBibliography"/>
    <w:rsid w:val="005E3E7C"/>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10</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69</cp:revision>
  <dcterms:created xsi:type="dcterms:W3CDTF">2022-09-01T21:48:00Z</dcterms:created>
  <dcterms:modified xsi:type="dcterms:W3CDTF">2022-09-27T22:51:00Z</dcterms:modified>
</cp:coreProperties>
</file>