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49" w:rsidRDefault="00D009F0">
      <w:pPr>
        <w:rPr>
          <w:rFonts w:cs="Arial"/>
          <w:b/>
          <w:color w:val="222222"/>
          <w:shd w:val="clear" w:color="auto" w:fill="FFFFFF"/>
        </w:rPr>
      </w:pPr>
      <w:r w:rsidRPr="00D009F0">
        <w:rPr>
          <w:rFonts w:cs="Arial"/>
          <w:b/>
          <w:color w:val="222222"/>
          <w:shd w:val="clear" w:color="auto" w:fill="FFFFFF"/>
        </w:rPr>
        <w:t>Reviewer 1 report:</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r w:rsidRPr="00D009F0">
        <w:rPr>
          <w:rFonts w:cs="Arial"/>
          <w:b/>
          <w:color w:val="222222"/>
        </w:rPr>
        <w:br/>
      </w:r>
      <w:r w:rsidRPr="00D009F0">
        <w:rPr>
          <w:rFonts w:cs="Arial"/>
          <w:b/>
          <w:color w:val="222222"/>
          <w:shd w:val="clear" w:color="auto" w:fill="FFFFFF"/>
        </w:rPr>
        <w:lastRenderedPageBreak/>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simples solution is, instead of looking at correlation, to look at change in kelp and change in urchins. I believe there is enough data here for this analysis, and looking at the relationship between change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r w:rsidRPr="00D009F0">
        <w:rPr>
          <w:rFonts w:cs="Arial"/>
          <w:b/>
          <w:color w:val="222222"/>
        </w:rPr>
        <w:br/>
      </w:r>
      <w:r w:rsidRPr="00D009F0">
        <w:rPr>
          <w:rFonts w:cs="Arial"/>
          <w:b/>
          <w:color w:val="222222"/>
        </w:rPr>
        <w:br/>
      </w:r>
      <w:r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Pr="00D009F0">
        <w:rPr>
          <w:rFonts w:cs="Arial"/>
          <w:b/>
          <w:color w:val="222222"/>
        </w:rPr>
        <w:br/>
      </w:r>
      <w:r w:rsidRPr="00D009F0">
        <w:rPr>
          <w:rFonts w:cs="Arial"/>
          <w:b/>
          <w:color w:val="222222"/>
        </w:rPr>
        <w:br/>
      </w:r>
      <w:r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-Jarrett Byrnes</w:t>
      </w:r>
      <w:r w:rsidRPr="00D009F0">
        <w:rPr>
          <w:rFonts w:cs="Arial"/>
          <w:b/>
          <w:color w:val="222222"/>
        </w:rPr>
        <w:br/>
      </w:r>
      <w:r w:rsidRPr="00D009F0">
        <w:rPr>
          <w:rFonts w:cs="Arial"/>
          <w:b/>
          <w:color w:val="222222"/>
        </w:rPr>
        <w:br/>
      </w:r>
      <w:r w:rsidRPr="00D009F0">
        <w:rPr>
          <w:rFonts w:cs="Arial"/>
          <w:b/>
          <w:color w:val="222222"/>
          <w:shd w:val="clear" w:color="auto" w:fill="FFFFFF"/>
        </w:rPr>
        <w:t>Minor comments</w:t>
      </w:r>
      <w:r w:rsidRPr="00D009F0">
        <w:rPr>
          <w:rFonts w:cs="Arial"/>
          <w:b/>
          <w:color w:val="222222"/>
        </w:rPr>
        <w:br/>
      </w:r>
      <w:r w:rsidRPr="00D009F0">
        <w:rPr>
          <w:rFonts w:cs="Arial"/>
          <w:b/>
          <w:color w:val="222222"/>
        </w:rPr>
        <w:br/>
      </w:r>
      <w:r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A91128"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r w:rsidRPr="00D009F0">
        <w:rPr>
          <w:rFonts w:cs="Arial"/>
          <w:b/>
          <w:color w:val="222222"/>
        </w:rPr>
        <w:br/>
      </w: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r w:rsidRPr="00D009F0">
        <w:rPr>
          <w:rFonts w:cs="Arial"/>
          <w:b/>
          <w:color w:val="222222"/>
        </w:rPr>
        <w:br/>
      </w:r>
      <w:r w:rsidRPr="00D009F0">
        <w:rPr>
          <w:rFonts w:cs="Arial"/>
          <w:b/>
          <w:color w:val="222222"/>
          <w:shd w:val="clear" w:color="auto" w:fill="FFFFFF"/>
        </w:rPr>
        <w:t>Line 536 - did you expect to see effects of star die off given otters?</w:t>
      </w: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r w:rsidRPr="00A91128">
        <w:rPr>
          <w:rFonts w:cs="Arial"/>
          <w:color w:val="222222"/>
          <w:shd w:val="clear" w:color="auto" w:fill="FFFFFF"/>
        </w:rPr>
        <w:t>updated</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lastRenderedPageBreak/>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lastRenderedPageBreak/>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the 2014-2016 MHW.  The event had large impacts on other areas of the California Current Ecosystem.  However, we agree </w:t>
      </w:r>
      <w:proofErr w:type="spellStart"/>
      <w:r>
        <w:rPr>
          <w:rFonts w:cs="Arial"/>
          <w:color w:val="222222"/>
          <w:shd w:val="clear" w:color="auto" w:fill="FFFFFF"/>
        </w:rPr>
        <w:t>tjat</w:t>
      </w:r>
      <w:proofErr w:type="spellEnd"/>
      <w:r>
        <w:rPr>
          <w:rFonts w:cs="Arial"/>
          <w:color w:val="222222"/>
          <w:shd w:val="clear" w:color="auto" w:fill="FFFFFF"/>
        </w:rPr>
        <w:t xml:space="preserve"> temperature data are important for providing context for the WA coast. </w:t>
      </w:r>
    </w:p>
    <w:p w:rsidR="00B929B3" w:rsidRDefault="00D70C3C">
      <w:pPr>
        <w:rPr>
          <w:rFonts w:cs="Arial"/>
          <w:color w:val="222222"/>
          <w:shd w:val="clear" w:color="auto" w:fill="FFFFFF"/>
        </w:rPr>
      </w:pPr>
      <w:r>
        <w:rPr>
          <w:rFonts w:cs="Arial"/>
          <w:color w:val="222222"/>
          <w:shd w:val="clear" w:color="auto" w:fill="FFFFFF"/>
        </w:rPr>
        <w:t>Here, w</w:t>
      </w:r>
      <w:r w:rsidR="00B929B3">
        <w:rPr>
          <w:rFonts w:cs="Arial"/>
          <w:color w:val="222222"/>
          <w:shd w:val="clear" w:color="auto" w:fill="FFFFFF"/>
        </w:rPr>
        <w:t xml:space="preserve">e focus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B929B3">
        <w:rPr>
          <w:rFonts w:cs="Arial"/>
          <w:color w:val="222222"/>
          <w:shd w:val="clear" w:color="auto" w:fill="FFFFFF"/>
        </w:rPr>
        <w:t xml:space="preserve">. </w:t>
      </w:r>
      <w:r w:rsidR="00286EBF">
        <w:rPr>
          <w:rFonts w:cs="Arial"/>
          <w:color w:val="222222"/>
          <w:shd w:val="clear" w:color="auto" w:fill="FFFFFF"/>
        </w:rPr>
        <w:t xml:space="preserve">For example, Hamilton et al 2020 did not find differences in various MHW metrics for Oregon (no obvious effects on kelp) and Northern California (severe kelp loss) but the absolute SST was 1.5C warmer in NCA.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286EBF" w:rsidP="00EB4E99">
      <w:pPr>
        <w:rPr>
          <w:rFonts w:cs="Arial"/>
          <w:color w:val="222222"/>
          <w:shd w:val="clear" w:color="auto" w:fill="FFFFFF"/>
        </w:rPr>
      </w:pPr>
      <w:r>
        <w:rPr>
          <w:rFonts w:cs="Arial"/>
          <w:color w:val="222222"/>
          <w:shd w:val="clear" w:color="auto" w:fill="FFFFFF"/>
        </w:rPr>
        <w:t>However, 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Pr>
          <w:rFonts w:cs="Arial"/>
          <w:color w:val="222222"/>
          <w:shd w:val="clear" w:color="auto" w:fill="FFFFFF"/>
        </w:rPr>
        <w:t xml:space="preserve">to more completely describe the temperature regime on the WA coast.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warmest time of year, leading to a warm year on average.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MHW, the absolute 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lastRenderedPageBreak/>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‘focus’.</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 ‘s’</w:t>
      </w:r>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names of urchins have been linked to common names before this paragraph? It would be good include the </w:t>
      </w:r>
      <w:proofErr w:type="spellStart"/>
      <w:r w:rsidRPr="00D009F0">
        <w:rPr>
          <w:rFonts w:cs="Arial"/>
          <w:b/>
          <w:color w:val="222222"/>
          <w:shd w:val="clear" w:color="auto" w:fill="FFFFFF"/>
        </w:rPr>
        <w:t>latin</w:t>
      </w:r>
      <w:proofErr w:type="spell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r w:rsidRPr="00E14D9E">
        <w:rPr>
          <w:rFonts w:cs="Arial"/>
          <w:color w:val="222222"/>
          <w:shd w:val="clear" w:color="auto" w:fill="FFFFFF"/>
        </w:rPr>
        <w:t>upated</w:t>
      </w:r>
      <w:proofErr w:type="spell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substantial  impacts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r w:rsidRPr="00D009F0">
        <w:rPr>
          <w:rFonts w:cs="Arial"/>
          <w:b/>
          <w:color w:val="222222"/>
          <w:shd w:val="clear" w:color="auto" w:fill="FFFFFF"/>
        </w:rPr>
        <w:t>ces</w:t>
      </w:r>
      <w:proofErr w:type="spell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Pr>
          <w:rFonts w:cs="Arial"/>
          <w:color w:val="222222"/>
          <w:shd w:val="clear" w:color="auto" w:fill="FFFF00"/>
        </w:rPr>
        <w:t>“</w:t>
      </w:r>
      <w:r w:rsidRPr="004E723D">
        <w:rPr>
          <w:rFonts w:cs="Arial"/>
          <w:color w:val="222222"/>
          <w:shd w:val="clear" w:color="auto" w:fill="FFFF00"/>
          <w:lang w:val="en"/>
        </w:rPr>
        <w:t xml:space="preserve">Both </w:t>
      </w:r>
      <w:proofErr w:type="spellStart"/>
      <w:r w:rsidRPr="004E723D">
        <w:rPr>
          <w:rFonts w:cs="Arial"/>
          <w:i/>
          <w:color w:val="222222"/>
          <w:shd w:val="clear" w:color="auto" w:fill="FFFF00"/>
          <w:lang w:val="en"/>
        </w:rPr>
        <w:t>Macrocystis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and </w:t>
      </w:r>
      <w:proofErr w:type="spellStart"/>
      <w:r w:rsidRPr="004E723D">
        <w:rPr>
          <w:rFonts w:cs="Arial"/>
          <w:i/>
          <w:color w:val="222222"/>
          <w:shd w:val="clear" w:color="auto" w:fill="FFFF00"/>
          <w:lang w:val="en"/>
        </w:rPr>
        <w:t>Nereocystis</w:t>
      </w:r>
      <w:proofErr w:type="spellEnd"/>
      <w:r w:rsidRPr="004E723D">
        <w:rPr>
          <w:rFonts w:cs="Arial"/>
          <w:i/>
          <w:color w:val="222222"/>
          <w:shd w:val="clear" w:color="auto" w:fill="FFFF00"/>
          <w:lang w:val="en"/>
        </w:rPr>
        <w:t xml:space="preserve"> </w:t>
      </w:r>
      <w:r w:rsidRPr="004E723D">
        <w:rPr>
          <w:rFonts w:cs="Arial"/>
          <w:color w:val="222222"/>
          <w:shd w:val="clear" w:color="auto" w:fill="FFFF00"/>
          <w:lang w:val="en"/>
        </w:rPr>
        <w:t xml:space="preserve">are far from their range margins in Washington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w:t>
      </w:r>
      <w:proofErr w:type="spellStart"/>
      <w:r w:rsidRPr="004E723D">
        <w:rPr>
          <w:rFonts w:cs="Arial"/>
          <w:color w:val="222222"/>
          <w:shd w:val="clear" w:color="auto" w:fill="FFFF00"/>
          <w:lang w:val="en"/>
        </w:rPr>
        <w:t>Smale</w:t>
      </w:r>
      <w:proofErr w:type="spellEnd"/>
      <w:r w:rsidRPr="004E723D">
        <w:rPr>
          <w:rFonts w:cs="Arial"/>
          <w:color w:val="222222"/>
          <w:shd w:val="clear" w:color="auto" w:fill="FFFF00"/>
          <w:lang w:val="en"/>
        </w:rPr>
        <w:t xml:space="preserve"> 2020)</w:t>
      </w:r>
      <w:r w:rsidRPr="004E723D">
        <w:rPr>
          <w:rFonts w:cs="Arial"/>
          <w:color w:val="222222"/>
          <w:shd w:val="clear" w:color="auto" w:fill="FFFF00"/>
        </w:rPr>
        <w:fldChar w:fldCharType="end"/>
      </w:r>
      <w:r w:rsidRPr="004E723D">
        <w:rPr>
          <w:rFonts w:cs="Arial"/>
          <w:color w:val="222222"/>
          <w:shd w:val="clear" w:color="auto" w:fill="FFFF00"/>
          <w:lang w:val="en"/>
        </w:rPr>
        <w:t xml:space="preserve"> so we might expect them to be well within their thermal thresholds </w:t>
      </w:r>
      <w:r w:rsidRPr="004E723D">
        <w:rPr>
          <w:rFonts w:cs="Arial"/>
          <w:color w:val="222222"/>
          <w:shd w:val="clear" w:color="auto" w:fill="FFFF00"/>
          <w:lang w:val="en"/>
        </w:rPr>
        <w:fldChar w:fldCharType="begin"/>
      </w:r>
      <w:r w:rsidRPr="004E723D">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4E723D">
        <w:rPr>
          <w:rFonts w:cs="Arial"/>
          <w:color w:val="222222"/>
          <w:shd w:val="clear" w:color="auto" w:fill="FFFF00"/>
          <w:lang w:val="en"/>
        </w:rPr>
        <w:fldChar w:fldCharType="separate"/>
      </w:r>
      <w:r w:rsidRPr="004E723D">
        <w:rPr>
          <w:rFonts w:cs="Arial"/>
          <w:color w:val="222222"/>
          <w:shd w:val="clear" w:color="auto" w:fill="FFFF00"/>
          <w:lang w:val="en"/>
        </w:rPr>
        <w:t>(Burrows et al. 2020)</w:t>
      </w:r>
      <w:r w:rsidRPr="004E723D">
        <w:rPr>
          <w:rFonts w:cs="Arial"/>
          <w:color w:val="222222"/>
          <w:shd w:val="clear" w:color="auto" w:fill="FFFF00"/>
        </w:rPr>
        <w:fldChar w:fldCharType="end"/>
      </w:r>
      <w:r w:rsidRPr="004E723D">
        <w:rPr>
          <w:rFonts w:cs="Arial"/>
          <w:color w:val="222222"/>
          <w:shd w:val="clear" w:color="auto" w:fill="FFFF00"/>
          <w:lang w:val="en"/>
        </w:rPr>
        <w:t>.</w:t>
      </w:r>
      <w:r>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143EDC" w:rsidRDefault="00143EDC">
      <w:pPr>
        <w:rPr>
          <w:rFonts w:cs="Arial"/>
          <w:b/>
          <w:color w:val="222222"/>
          <w:shd w:val="clear" w:color="auto" w:fill="FFFFFF"/>
        </w:rPr>
      </w:pPr>
    </w:p>
    <w:p w:rsidR="00143EDC" w:rsidRDefault="00143EDC">
      <w:pPr>
        <w:rPr>
          <w:rFonts w:cs="Arial"/>
          <w:color w:val="222222"/>
          <w:shd w:val="clear" w:color="auto" w:fill="FFFFFF"/>
        </w:rPr>
      </w:pPr>
      <w:r w:rsidRPr="00143EDC">
        <w:rPr>
          <w:rFonts w:cs="Arial"/>
          <w:color w:val="222222"/>
          <w:shd w:val="clear" w:color="auto" w:fill="FFFFFF"/>
        </w:rPr>
        <w:t xml:space="preserve">That is not clear for the Washington coast. Larvae are planktonic (and feeding) for several weeks to months. In California settlement occurs in May in many areas but in March and July around Ft. Bragg in the north. </w:t>
      </w:r>
    </w:p>
    <w:p w:rsidR="00E17141" w:rsidRDefault="00D009F0">
      <w:pPr>
        <w:rPr>
          <w:rFonts w:cs="Arial"/>
          <w:b/>
          <w:color w:val="222222"/>
          <w:shd w:val="clear" w:color="auto" w:fill="FFFFFF"/>
        </w:rPr>
      </w:pPr>
      <w:bookmarkStart w:id="0" w:name="_GoBack"/>
      <w:bookmarkEnd w:id="0"/>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E85865" w:rsidRPr="00E85865" w:rsidRDefault="00E85865">
      <w:r w:rsidRPr="00E85865">
        <w:rPr>
          <w:rFonts w:cs="Arial"/>
          <w:color w:val="222222"/>
          <w:shd w:val="clear" w:color="auto" w:fill="FFFFFF"/>
        </w:rPr>
        <w:t>done</w:t>
      </w:r>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407C0"/>
    <w:rsid w:val="000C311F"/>
    <w:rsid w:val="00122374"/>
    <w:rsid w:val="00143EDC"/>
    <w:rsid w:val="00155BE5"/>
    <w:rsid w:val="00247E5D"/>
    <w:rsid w:val="00283BE4"/>
    <w:rsid w:val="00286EBF"/>
    <w:rsid w:val="002F7C49"/>
    <w:rsid w:val="00373569"/>
    <w:rsid w:val="003E506C"/>
    <w:rsid w:val="00423941"/>
    <w:rsid w:val="00431538"/>
    <w:rsid w:val="004709D1"/>
    <w:rsid w:val="00485AF3"/>
    <w:rsid w:val="004973D2"/>
    <w:rsid w:val="004E723D"/>
    <w:rsid w:val="00512929"/>
    <w:rsid w:val="005202CE"/>
    <w:rsid w:val="005711B3"/>
    <w:rsid w:val="0059206C"/>
    <w:rsid w:val="00611287"/>
    <w:rsid w:val="00656A4D"/>
    <w:rsid w:val="0066571C"/>
    <w:rsid w:val="007247AB"/>
    <w:rsid w:val="00782C73"/>
    <w:rsid w:val="00785030"/>
    <w:rsid w:val="007F1F15"/>
    <w:rsid w:val="00850F2B"/>
    <w:rsid w:val="008C1938"/>
    <w:rsid w:val="008D7BEE"/>
    <w:rsid w:val="008F647E"/>
    <w:rsid w:val="00904F1E"/>
    <w:rsid w:val="00A61DE2"/>
    <w:rsid w:val="00A84F9D"/>
    <w:rsid w:val="00A91128"/>
    <w:rsid w:val="00AB2612"/>
    <w:rsid w:val="00B929B3"/>
    <w:rsid w:val="00C60A83"/>
    <w:rsid w:val="00D009F0"/>
    <w:rsid w:val="00D20269"/>
    <w:rsid w:val="00D70C3C"/>
    <w:rsid w:val="00D73324"/>
    <w:rsid w:val="00DD0E26"/>
    <w:rsid w:val="00E14D9E"/>
    <w:rsid w:val="00E17141"/>
    <w:rsid w:val="00E3301E"/>
    <w:rsid w:val="00E5643A"/>
    <w:rsid w:val="00E70892"/>
    <w:rsid w:val="00E85865"/>
    <w:rsid w:val="00EB4E99"/>
    <w:rsid w:val="00F4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9250"/>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41</cp:revision>
  <dcterms:created xsi:type="dcterms:W3CDTF">2022-09-01T21:48:00Z</dcterms:created>
  <dcterms:modified xsi:type="dcterms:W3CDTF">2022-09-13T23:55:00Z</dcterms:modified>
</cp:coreProperties>
</file>