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Methods for OCNMS surveys 2016 &amp;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and locations: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These are the focal sites for sampling:</w:t>
      </w:r>
    </w:p>
    <w:p w:rsidR="00000000" w:rsidDel="00000000" w:rsidP="00000000" w:rsidRDefault="00000000" w:rsidRPr="00000000">
      <w:pPr>
        <w:contextualSpacing w:val="0"/>
        <w:rPr/>
      </w:pPr>
      <w:r w:rsidDel="00000000" w:rsidR="00000000" w:rsidRPr="00000000">
        <w:rPr>
          <w:rtl w:val="0"/>
        </w:rPr>
        <w:tab/>
        <w:t xml:space="preserve">Destruction Island</w:t>
      </w:r>
    </w:p>
    <w:p w:rsidR="00000000" w:rsidDel="00000000" w:rsidP="00000000" w:rsidRDefault="00000000" w:rsidRPr="00000000">
      <w:pPr>
        <w:contextualSpacing w:val="0"/>
        <w:rPr/>
      </w:pPr>
      <w:r w:rsidDel="00000000" w:rsidR="00000000" w:rsidRPr="00000000">
        <w:rPr>
          <w:rtl w:val="0"/>
        </w:rPr>
        <w:tab/>
        <w:t xml:space="preserve">Cape Johnson</w:t>
      </w:r>
    </w:p>
    <w:p w:rsidR="00000000" w:rsidDel="00000000" w:rsidP="00000000" w:rsidRDefault="00000000" w:rsidRPr="00000000">
      <w:pPr>
        <w:contextualSpacing w:val="0"/>
        <w:rPr/>
      </w:pPr>
      <w:r w:rsidDel="00000000" w:rsidR="00000000" w:rsidRPr="00000000">
        <w:rPr>
          <w:rtl w:val="0"/>
        </w:rPr>
        <w:tab/>
        <w:t xml:space="preserve">Cape Alava</w:t>
      </w:r>
    </w:p>
    <w:p w:rsidR="00000000" w:rsidDel="00000000" w:rsidP="00000000" w:rsidRDefault="00000000" w:rsidRPr="00000000">
      <w:pPr>
        <w:ind w:firstLine="720"/>
        <w:contextualSpacing w:val="0"/>
        <w:rPr/>
      </w:pPr>
      <w:r w:rsidDel="00000000" w:rsidR="00000000" w:rsidRPr="00000000">
        <w:rPr>
          <w:rtl w:val="0"/>
        </w:rPr>
        <w:t xml:space="preserve">Tatoosh Island</w:t>
      </w:r>
    </w:p>
    <w:p w:rsidR="00000000" w:rsidDel="00000000" w:rsidP="00000000" w:rsidRDefault="00000000" w:rsidRPr="00000000">
      <w:pPr>
        <w:ind w:firstLine="720"/>
        <w:contextualSpacing w:val="0"/>
        <w:rPr/>
      </w:pPr>
      <w:r w:rsidDel="00000000" w:rsidR="00000000" w:rsidRPr="00000000">
        <w:rPr>
          <w:rtl w:val="0"/>
        </w:rPr>
        <w:t xml:space="preserve">Neah Bay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Sample each site at two depth zones: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5m </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10m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At each site, 3 types of surveys:</w:t>
      </w: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Target 8 replicates per depth zone per site, spread across two dive areas.</w:t>
      </w:r>
    </w:p>
    <w:p w:rsidR="00000000" w:rsidDel="00000000" w:rsidP="00000000" w:rsidRDefault="00000000" w:rsidRPr="00000000">
      <w:pPr>
        <w:contextualSpacing w:val="0"/>
        <w:rPr/>
      </w:pPr>
      <w:r w:rsidDel="00000000" w:rsidR="00000000" w:rsidRPr="00000000">
        <w:rPr>
          <w:rtl w:val="0"/>
        </w:rPr>
        <w:t xml:space="preserve">     </w:t>
        <w:tab/>
        <w:t xml:space="preserve">Spatial Nesting: Olympic coast -&gt; Site -&gt; Area -&gt; Depth Zone -&gt; Transect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Surveys</w:t>
      </w:r>
    </w:p>
    <w:p w:rsidR="00000000" w:rsidDel="00000000" w:rsidP="00000000" w:rsidRDefault="00000000" w:rsidRPr="00000000">
      <w:pPr>
        <w:numPr>
          <w:ilvl w:val="0"/>
          <w:numId w:val="1"/>
        </w:numPr>
        <w:ind w:left="720" w:hanging="360"/>
        <w:contextualSpacing w:val="1"/>
        <w:rPr>
          <w:b w:val="1"/>
        </w:rPr>
      </w:pPr>
      <w:hyperlink r:id="rId5">
        <w:r w:rsidDel="00000000" w:rsidR="00000000" w:rsidRPr="00000000">
          <w:rPr>
            <w:b w:val="1"/>
            <w:color w:val="1155cc"/>
            <w:u w:val="single"/>
            <w:rtl w:val="0"/>
          </w:rPr>
          <w:t xml:space="preserve">Swaths for benthic invertebrates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30m x 2m wide  transects broken into 10m sections.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Only count inverts </w:t>
      </w:r>
      <w:r w:rsidDel="00000000" w:rsidR="00000000" w:rsidRPr="00000000">
        <w:rPr>
          <w:rtl w:val="0"/>
        </w:rPr>
        <w:t xml:space="preserve">&gt; 2.5cm in </w:t>
      </w:r>
      <w:r w:rsidDel="00000000" w:rsidR="00000000" w:rsidRPr="00000000">
        <w:rPr>
          <w:rtl w:val="0"/>
        </w:rPr>
        <w:t xml:space="preserve">diameter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Diameter for carapace width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Dig through understory algae to look for inverts </w:t>
      </w:r>
    </w:p>
    <w:p w:rsidR="00000000" w:rsidDel="00000000" w:rsidP="00000000" w:rsidRDefault="00000000" w:rsidRPr="00000000">
      <w:pPr>
        <w:numPr>
          <w:ilvl w:val="0"/>
          <w:numId w:val="1"/>
        </w:numPr>
        <w:ind w:left="720" w:hanging="360"/>
        <w:contextualSpacing w:val="1"/>
        <w:rPr>
          <w:b w:val="1"/>
        </w:rPr>
      </w:pPr>
      <w:hyperlink r:id="rId6">
        <w:r w:rsidDel="00000000" w:rsidR="00000000" w:rsidRPr="00000000">
          <w:rPr>
            <w:b w:val="1"/>
            <w:color w:val="1155cc"/>
            <w:u w:val="single"/>
            <w:rtl w:val="0"/>
          </w:rPr>
          <w:t xml:space="preserve">Point contact surveys</w:t>
        </w:r>
      </w:hyperlink>
      <w:r w:rsidDel="00000000" w:rsidR="00000000" w:rsidRPr="00000000">
        <w:rPr>
          <w:b w:val="1"/>
          <w:rtl w:val="0"/>
        </w:rPr>
        <w:t xml:space="preserve"> for algae and sessile invertebrates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1 point each meter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Substrate type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Relief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Major algal groups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shd w:fill="auto" w:val="clear"/>
          <w:vertAlign w:val="baseline"/>
        </w:rPr>
      </w:pPr>
      <w:hyperlink r:id="rId7">
        <w:r w:rsidDel="00000000" w:rsidR="00000000" w:rsidRPr="00000000">
          <w:rPr>
            <w:b w:val="1"/>
            <w:color w:val="1155cc"/>
            <w:u w:val="single"/>
            <w:rtl w:val="0"/>
          </w:rPr>
          <w:t xml:space="preserve">Fish surveys</w:t>
        </w:r>
      </w:hyperlink>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30m x 2m x 2m</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pPr>
      <w:r w:rsidDel="00000000" w:rsidR="00000000" w:rsidRPr="00000000">
        <w:rPr>
          <w:rtl w:val="0"/>
        </w:rPr>
        <w:t xml:space="preserve">Fish only slightly above the kelp understory.</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Record visibility (potentially exclude viz &lt;3m on analysis side). Use distance at which your dive buddy can no longer differentiate the 5 fingers you are holding up.</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Count fish &gt;=5cm TL only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hyperlink r:id="rId8">
        <w:r w:rsidDel="00000000" w:rsidR="00000000" w:rsidRPr="00000000">
          <w:rPr>
            <w:b w:val="1"/>
            <w:color w:val="1155cc"/>
            <w:u w:val="single"/>
            <w:rtl w:val="0"/>
          </w:rPr>
          <w:t xml:space="preserve">Kelp stipes</w:t>
        </w:r>
      </w:hyperlink>
      <w:r w:rsidDel="00000000" w:rsidR="00000000" w:rsidRPr="00000000">
        <w:rPr>
          <w:rtl w:val="0"/>
        </w:rPr>
      </w:r>
    </w:p>
    <w:p w:rsidR="00000000" w:rsidDel="00000000" w:rsidP="00000000" w:rsidRDefault="00000000" w:rsidRPr="00000000">
      <w:pPr>
        <w:numPr>
          <w:ilvl w:val="1"/>
          <w:numId w:val="1"/>
        </w:numPr>
        <w:ind w:left="1440" w:hanging="360"/>
        <w:rPr/>
      </w:pPr>
      <w:r w:rsidDel="00000000" w:rsidR="00000000" w:rsidRPr="00000000">
        <w:rPr>
          <w:color w:val="333333"/>
          <w:sz w:val="20"/>
          <w:szCs w:val="20"/>
          <w:highlight w:val="white"/>
          <w:rtl w:val="0"/>
        </w:rPr>
        <w:t xml:space="preserve">Species- and height-specific counts:</w:t>
      </w:r>
    </w:p>
    <w:p w:rsidR="00000000" w:rsidDel="00000000" w:rsidP="00000000" w:rsidRDefault="00000000" w:rsidRPr="00000000">
      <w:pPr>
        <w:numPr>
          <w:ilvl w:val="2"/>
          <w:numId w:val="1"/>
        </w:numPr>
        <w:ind w:left="2160" w:hanging="360"/>
        <w:rPr/>
      </w:pPr>
      <w:r w:rsidDel="00000000" w:rsidR="00000000" w:rsidRPr="00000000">
        <w:rPr>
          <w:color w:val="333333"/>
          <w:sz w:val="20"/>
          <w:szCs w:val="20"/>
          <w:highlight w:val="white"/>
          <w:rtl w:val="0"/>
        </w:rPr>
        <w:t xml:space="preserve">Macrocystis: Count all stipes &gt;=1m in height</w:t>
      </w:r>
    </w:p>
    <w:p w:rsidR="00000000" w:rsidDel="00000000" w:rsidP="00000000" w:rsidRDefault="00000000" w:rsidRPr="00000000">
      <w:pPr>
        <w:numPr>
          <w:ilvl w:val="2"/>
          <w:numId w:val="1"/>
        </w:numPr>
        <w:ind w:left="2160" w:hanging="360"/>
        <w:rPr/>
      </w:pPr>
      <w:r w:rsidDel="00000000" w:rsidR="00000000" w:rsidRPr="00000000">
        <w:rPr>
          <w:color w:val="333333"/>
          <w:sz w:val="20"/>
          <w:szCs w:val="20"/>
          <w:highlight w:val="white"/>
          <w:rtl w:val="0"/>
        </w:rPr>
        <w:t xml:space="preserve">Nereocystis, Pterygophora, Laminaria, Pleurophycus: Count all stipes &gt;=30cm in height</w:t>
      </w:r>
    </w:p>
    <w:p w:rsidR="00000000" w:rsidDel="00000000" w:rsidP="00000000" w:rsidRDefault="00000000" w:rsidRPr="00000000">
      <w:pPr>
        <w:numPr>
          <w:ilvl w:val="2"/>
          <w:numId w:val="1"/>
        </w:numPr>
        <w:ind w:left="2160" w:hanging="360"/>
        <w:rPr/>
      </w:pPr>
      <w:r w:rsidDel="00000000" w:rsidR="00000000" w:rsidRPr="00000000">
        <w:rPr>
          <w:color w:val="333333"/>
          <w:sz w:val="20"/>
          <w:szCs w:val="20"/>
          <w:highlight w:val="white"/>
          <w:rtl w:val="0"/>
        </w:rPr>
        <w:t xml:space="preserve">Others: Count all plants (Alaria, Costaria, C. triplicata, Desmerastias, etc)</w:t>
      </w:r>
    </w:p>
    <w:p w:rsidR="00000000" w:rsidDel="00000000" w:rsidP="00000000" w:rsidRDefault="00000000" w:rsidRPr="00000000">
      <w:pPr>
        <w:numPr>
          <w:ilvl w:val="1"/>
          <w:numId w:val="1"/>
        </w:numPr>
        <w:ind w:left="1440" w:hanging="360"/>
        <w:rPr>
          <w:color w:val="333333"/>
          <w:sz w:val="20"/>
          <w:szCs w:val="20"/>
          <w:highlight w:val="white"/>
          <w:u w:val="none"/>
        </w:rPr>
      </w:pPr>
      <w:r w:rsidDel="00000000" w:rsidR="00000000" w:rsidRPr="00000000">
        <w:rPr>
          <w:color w:val="333333"/>
          <w:sz w:val="20"/>
          <w:szCs w:val="20"/>
          <w:highlight w:val="white"/>
          <w:rtl w:val="0"/>
        </w:rPr>
        <w:t xml:space="preserve">Option for places like DI where there is no algae deep (10m):</w:t>
      </w:r>
    </w:p>
    <w:p w:rsidR="00000000" w:rsidDel="00000000" w:rsidP="00000000" w:rsidRDefault="00000000" w:rsidRPr="00000000">
      <w:pPr>
        <w:numPr>
          <w:ilvl w:val="2"/>
          <w:numId w:val="1"/>
        </w:numPr>
        <w:ind w:left="2160" w:hanging="360"/>
        <w:rPr>
          <w:color w:val="333333"/>
          <w:sz w:val="20"/>
          <w:szCs w:val="20"/>
          <w:highlight w:val="white"/>
        </w:rPr>
      </w:pPr>
      <w:r w:rsidDel="00000000" w:rsidR="00000000" w:rsidRPr="00000000">
        <w:rPr>
          <w:color w:val="333333"/>
          <w:sz w:val="20"/>
          <w:szCs w:val="20"/>
          <w:highlight w:val="white"/>
          <w:rtl w:val="0"/>
        </w:rPr>
        <w:t xml:space="preserve">5m depth transects: 1 diver surveying 2m swath</w:t>
      </w:r>
    </w:p>
    <w:p w:rsidR="00000000" w:rsidDel="00000000" w:rsidP="00000000" w:rsidRDefault="00000000" w:rsidRPr="00000000">
      <w:pPr>
        <w:numPr>
          <w:ilvl w:val="2"/>
          <w:numId w:val="1"/>
        </w:numPr>
        <w:ind w:left="2160" w:hanging="360"/>
        <w:rPr>
          <w:color w:val="333333"/>
          <w:sz w:val="20"/>
          <w:szCs w:val="20"/>
          <w:highlight w:val="white"/>
          <w:u w:val="none"/>
        </w:rPr>
      </w:pPr>
      <w:r w:rsidDel="00000000" w:rsidR="00000000" w:rsidRPr="00000000">
        <w:rPr>
          <w:color w:val="333333"/>
          <w:sz w:val="20"/>
          <w:szCs w:val="20"/>
          <w:highlight w:val="white"/>
          <w:rtl w:val="0"/>
        </w:rPr>
        <w:t xml:space="preserve">10m depth transect: 2 divers, each surveying a 1m swath while also surveying inverts</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contextualSpacing w:val="0"/>
        <w:rPr>
          <w:color w:val="333333"/>
          <w:sz w:val="20"/>
          <w:szCs w:val="20"/>
          <w:highlight w:val="white"/>
        </w:rPr>
      </w:pPr>
      <w:r w:rsidDel="00000000" w:rsidR="00000000" w:rsidRPr="00000000">
        <w:rPr>
          <w:color w:val="333333"/>
          <w:sz w:val="20"/>
          <w:szCs w:val="20"/>
          <w:highlight w:val="white"/>
          <w:rtl w:val="0"/>
        </w:rPr>
        <w:t xml:space="preserve">Divers split the duties into teams. One diver pair will do Fish and UPC. One diver pair will do Inverts and Algae.  This is to ensure that the speed at which the divers do the survey is approximately the same and avoid divers getting separated underwater. This means that the two dive teams will not be surveying the same transect for all of the four surveys.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All surveys: Target 3, 30m transects per dive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Extras:</w:t>
      </w:r>
    </w:p>
    <w:p w:rsidR="00000000" w:rsidDel="00000000" w:rsidP="00000000" w:rsidRDefault="00000000" w:rsidRPr="00000000">
      <w:pPr>
        <w:contextualSpacing w:val="0"/>
        <w:rPr/>
      </w:pPr>
      <w:r w:rsidDel="00000000" w:rsidR="00000000" w:rsidRPr="00000000">
        <w:rPr>
          <w:rtl w:val="0"/>
        </w:rPr>
        <w:tab/>
        <w:t xml:space="preserve">Camera for cool footage to document sites and other fun stuff.</w:t>
      </w:r>
    </w:p>
    <w:p w:rsidR="00000000" w:rsidDel="00000000" w:rsidP="00000000" w:rsidRDefault="00000000" w:rsidRPr="00000000">
      <w:pPr>
        <w:contextualSpacing w:val="0"/>
        <w:rPr/>
      </w:pPr>
      <w:r w:rsidDel="00000000" w:rsidR="00000000" w:rsidRPr="00000000">
        <w:rPr>
          <w:rtl w:val="0"/>
        </w:rPr>
        <w:tab/>
        <w:t xml:space="preserve">Biomass of kelp? </w:t>
      </w:r>
    </w:p>
    <w:p w:rsidR="00000000" w:rsidDel="00000000" w:rsidP="00000000" w:rsidRDefault="00000000" w:rsidRPr="00000000">
      <w:pPr>
        <w:contextualSpacing w:val="0"/>
        <w:rPr/>
      </w:pPr>
      <w:r w:rsidDel="00000000" w:rsidR="00000000" w:rsidRPr="00000000">
        <w:rPr>
          <w:rtl w:val="0"/>
        </w:rPr>
        <w:tab/>
        <w:t xml:space="preserve">eDNA - Talk with Jimmy and Linda.</w:t>
      </w:r>
    </w:p>
    <w:p w:rsidR="00000000" w:rsidDel="00000000" w:rsidP="00000000" w:rsidRDefault="00000000" w:rsidRPr="00000000">
      <w:pPr>
        <w:contextualSpacing w:val="0"/>
        <w:rPr/>
      </w:pPr>
      <w:r w:rsidDel="00000000" w:rsidR="00000000" w:rsidRPr="00000000">
        <w:rPr>
          <w:rtl w:val="0"/>
        </w:rPr>
        <w:tab/>
        <w:tab/>
        <w:t xml:space="preserve">Check with Gary Winans.- ARMS.</w:t>
      </w:r>
    </w:p>
    <w:p w:rsidR="00000000" w:rsidDel="00000000" w:rsidP="00000000" w:rsidRDefault="00000000" w:rsidRPr="00000000">
      <w:pPr>
        <w:contextualSpacing w:val="0"/>
        <w:rPr/>
      </w:pPr>
      <w:r w:rsidDel="00000000" w:rsidR="00000000" w:rsidRPr="00000000">
        <w:rPr>
          <w:rtl w:val="0"/>
        </w:rPr>
        <w:tab/>
        <w:t xml:space="preserve">360 degree camera?</w:t>
      </w:r>
    </w:p>
    <w:p w:rsidR="00000000" w:rsidDel="00000000" w:rsidP="00000000" w:rsidRDefault="00000000" w:rsidRPr="00000000">
      <w:pPr>
        <w:contextualSpacing w:val="0"/>
        <w:rPr/>
      </w:pPr>
      <w:r w:rsidDel="00000000" w:rsidR="00000000" w:rsidRPr="00000000">
        <w:rPr>
          <w:rtl w:val="0"/>
        </w:rPr>
        <w:tab/>
        <w:t xml:space="preserve">Take a look at deeper areas if possible (20m?)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19J8gHIuD3vUWs2N1poT0JJME0" TargetMode="External"/><Relationship Id="rId6" Type="http://schemas.openxmlformats.org/officeDocument/2006/relationships/hyperlink" Target="https://drive.google.com/open?id=0ByUaKrR_Uh1ceE9odHJfQTVRZHc" TargetMode="External"/><Relationship Id="rId7" Type="http://schemas.openxmlformats.org/officeDocument/2006/relationships/hyperlink" Target="https://drive.google.com/open?id=0B19J8gHIuD3vYWNmblYtdVBUXzg" TargetMode="External"/><Relationship Id="rId8" Type="http://schemas.openxmlformats.org/officeDocument/2006/relationships/hyperlink" Target="https://drive.google.com/open?id=0B19J8gHIuD3vTDl2WllEZWJqZ0k" TargetMode="External"/></Relationships>
</file>