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YOY</w:t>
      </w:r>
      <w:r>
        <w:t xml:space="preserve"> </w:t>
      </w:r>
      <w:r>
        <w:t xml:space="preserve">analysis:</w:t>
      </w:r>
      <w:r>
        <w:t xml:space="preserve"> </w:t>
      </w:r>
      <w:r>
        <w:t xml:space="preserve">Black</w:t>
      </w:r>
      <w:r>
        <w:t xml:space="preserve"> </w:t>
      </w:r>
      <w:r>
        <w:t xml:space="preserve">and</w:t>
      </w:r>
      <w:r>
        <w:t xml:space="preserve"> </w:t>
      </w:r>
      <w:r>
        <w:t xml:space="preserve">yellowtail</w:t>
      </w:r>
      <w:r>
        <w:t xml:space="preserve"> </w:t>
      </w:r>
      <w:r>
        <w:t xml:space="preserve">rockfish</w:t>
      </w:r>
      <w:r>
        <w:t xml:space="preserve"> </w:t>
      </w:r>
      <w:r>
        <w:t xml:space="preserve">complex</w:t>
      </w:r>
    </w:p>
    <w:p>
      <w:pPr>
        <w:pStyle w:val="Author"/>
      </w:pPr>
      <w:r>
        <w:t xml:space="preserve">Nick</w:t>
      </w:r>
      <w:r>
        <w:t xml:space="preserve"> </w:t>
      </w:r>
      <w:r>
        <w:t xml:space="preserve">Tolimieri</w:t>
      </w:r>
      <w:r>
        <w:t xml:space="preserve"> </w:t>
      </w:r>
      <w:r>
        <w:t xml:space="preserve">&amp;</w:t>
      </w:r>
      <w:r>
        <w:t xml:space="preserve"> </w:t>
      </w:r>
      <w:r>
        <w:t xml:space="preserve">Ole</w:t>
      </w:r>
      <w:r>
        <w:t xml:space="preserve"> </w:t>
      </w:r>
      <w:r>
        <w:t xml:space="preserve">Shelton</w:t>
      </w:r>
    </w:p>
    <w:p>
      <w:pPr>
        <w:pStyle w:val="Date"/>
      </w:pPr>
      <w:r>
        <w:t xml:space="preserve">2025-02-04</w:t>
      </w:r>
    </w:p>
    <w:bookmarkStart w:id="37" w:name="data-description"/>
    <w:p>
      <w:pPr>
        <w:pStyle w:val="Heading1"/>
      </w:pPr>
      <w:r>
        <w:t xml:space="preserve">Data description</w:t>
      </w:r>
    </w:p>
    <w:p>
      <w:pPr>
        <w:pStyle w:val="FirstParagraph"/>
      </w:pPr>
      <w:r>
        <w:t xml:space="preserve">These are derived data products relevant to estimating recruitment of the black rockfish and yellowtail rockfish comlex stemming from NWFSC dive surveys in the Olympic Coast National Marine Sanctuary (OCNMS) conducted between 2015 and 2024. We estimate recruitment (young-of-year abundance) for the complex because it is difficult to distinguish small recruits for these species. Description of survey methods and aims are detailed in</w:t>
      </w:r>
      <w:r>
        <w:t xml:space="preserve"> </w:t>
      </w:r>
      <w:r>
        <w:t xml:space="preserve">(Tolimieri et al. 2023)</w:t>
      </w:r>
      <w:r>
        <w:t xml:space="preserve"> </w:t>
      </w:r>
      <w:r>
        <w:t xml:space="preserve">We provide a brief summary of methods relevant to fish surveys here.</w:t>
      </w:r>
    </w:p>
    <w:p>
      <w:pPr>
        <w:pStyle w:val="BodyText"/>
      </w:pPr>
      <w:r>
        <w:t xml:space="preserve">Divers on SCUBA conducted in situ surveys to count fish at each site along benthic belt transects (30 m by 2 m) following slightly modified procedures described in</w:t>
      </w:r>
      <w:r>
        <w:t xml:space="preserve"> </w:t>
      </w:r>
      <w:r>
        <w:t xml:space="preserve">Malone et al. (2022)</w:t>
      </w:r>
      <w:r>
        <w:t xml:space="preserve">. Transects were conducted within or directly adjacent to canopy kelp beds (consisting of giant</w:t>
      </w:r>
      <w:r>
        <w:t xml:space="preserve"> </w:t>
      </w:r>
      <w:r>
        <w:rPr>
          <w:iCs/>
          <w:i/>
        </w:rPr>
        <w:t xml:space="preserve">Macrocystis pyrifera</w:t>
      </w:r>
      <w:r>
        <w:t xml:space="preserve"> </w:t>
      </w:r>
      <w:r>
        <w:t xml:space="preserve">or bull</w:t>
      </w:r>
      <w:r>
        <w:t xml:space="preserve"> </w:t>
      </w:r>
      <w:r>
        <w:rPr>
          <w:iCs/>
          <w:i/>
        </w:rPr>
        <w:t xml:space="preserve">Nereocystis luetkeana</w:t>
      </w:r>
      <w:r>
        <w:t xml:space="preserve"> </w:t>
      </w:r>
      <w:r>
        <w:t xml:space="preserve">kelps). From 2016 on, we surveyed at five (5) sites (</w:t>
      </w:r>
      <w:hyperlink w:anchor="fig-site-map">
        <w:r>
          <w:rPr>
            <w:rStyle w:val="Hyperlink"/>
          </w:rPr>
          <w:t xml:space="preserve">Fig. 1</w:t>
        </w:r>
      </w:hyperlink>
      <w:r>
        <w:t xml:space="preserve">), sampling at two (2) locations within each site separated by &gt;100 m, and 2 depths within each location (5 and 10 m) Our goal was to complete six (6) replicate transects at each year-site-depth combination. In 2015 surveyed at 10 sites and conducted four (4) transects per site at 5 m depth (</w:t>
      </w:r>
      <w:hyperlink w:anchor="fig-site-map">
        <w:r>
          <w:rPr>
            <w:rStyle w:val="Hyperlink"/>
          </w:rPr>
          <w:t xml:space="preserve">Fig. 1</w:t>
        </w:r>
      </w:hyperlink>
      <w:r>
        <w:t xml:space="preserve">).</w:t>
      </w:r>
    </w:p>
    <w:p>
      <w:pPr>
        <w:pStyle w:val="BodyText"/>
      </w:pPr>
      <w:r>
        <w:t xml:space="preserve">During each fish transect, we counted and estimated the size (total length to nearest cm) of all fishes &gt;5 cm total length; the exception was rockfishes</w:t>
      </w:r>
      <w:r>
        <w:t xml:space="preserve"> </w:t>
      </w:r>
      <w:r>
        <w:rPr>
          <w:iCs/>
          <w:i/>
        </w:rPr>
        <w:t xml:space="preserve">Sebastes</w:t>
      </w:r>
      <w:r>
        <w:t xml:space="preserve"> </w:t>
      </w:r>
      <w:r>
        <w:t xml:space="preserve">spp., for which we estimated sizes of all individuals. Rockfishes</w:t>
      </w:r>
      <w:r>
        <w:t xml:space="preserve"> </w:t>
      </w:r>
      <m:oMath>
        <m:r>
          <m:rPr>
            <m:sty m:val="p"/>
          </m:rPr>
          <m:t>≤</m:t>
        </m:r>
      </m:oMath>
      <w:r>
        <w:t xml:space="preserve"> </w:t>
      </w:r>
      <w:r>
        <w:t xml:space="preserve">10 cm were considered young of year. Divers also estimated horizontal visibility on each transect by determining the distance at which the lead diver could distinguish their buddy’s extended fingers. Transects with visibility less than 2 m were excluded from analyses.</w:t>
      </w:r>
    </w:p>
    <w:p>
      <w:pPr>
        <w:pStyle w:val="BodyText"/>
      </w:pPr>
      <w:r>
        <w:t xml:space="preserve">As noted above, it is difficult to visually distinguish many rockfish species when they are small. Therefore, on our surveys, we categorized juvenile rockfishes into five (5) groups established in the literature</w:t>
      </w:r>
      <w:r>
        <w:t xml:space="preserve"> </w:t>
      </w:r>
      <w:r>
        <w:t xml:space="preserve">(Johansson et al. 2018; Markel and Shurin 2020)</w:t>
      </w:r>
      <w:r>
        <w:t xml:space="preserve">:</w:t>
      </w:r>
    </w:p>
    <w:p>
      <w:pPr>
        <w:pStyle w:val="BodyText"/>
      </w:pPr>
      <w:r>
        <w:t xml:space="preserve">(1) Yellowtail and black (YTB) included both yellowtail (</w:t>
      </w:r>
      <w:r>
        <w:rPr>
          <w:iCs/>
          <w:i/>
        </w:rPr>
        <w:t xml:space="preserve">S. flavidus</w:t>
      </w:r>
      <w:r>
        <w:t xml:space="preserve">) and black (</w:t>
      </w:r>
      <w:r>
        <w:rPr>
          <w:iCs/>
          <w:i/>
        </w:rPr>
        <w:t xml:space="preserve">S. melanops</w:t>
      </w:r>
      <w:r>
        <w:t xml:space="preserve">) rockfishes.</w:t>
      </w:r>
    </w:p>
    <w:p>
      <w:pPr>
        <w:pStyle w:val="BodyText"/>
      </w:pPr>
      <w:r>
        <w:t xml:space="preserve">(2) The copper/quillback/brown (CQB) group included copper (</w:t>
      </w:r>
      <w:r>
        <w:rPr>
          <w:iCs/>
          <w:i/>
        </w:rPr>
        <w:t xml:space="preserve">S. caurinus</w:t>
      </w:r>
      <w:r>
        <w:t xml:space="preserve">), quillback (</w:t>
      </w:r>
      <w:r>
        <w:rPr>
          <w:iCs/>
          <w:i/>
        </w:rPr>
        <w:t xml:space="preserve">S. maliger</w:t>
      </w:r>
      <w:r>
        <w:t xml:space="preserve">), and brown (</w:t>
      </w:r>
      <w:r>
        <w:rPr>
          <w:iCs/>
          <w:i/>
        </w:rPr>
        <w:t xml:space="preserve">S. auriculatus</w:t>
      </w:r>
      <w:r>
        <w:t xml:space="preserve">) rockfishes.</w:t>
      </w:r>
    </w:p>
    <w:p>
      <w:pPr>
        <w:pStyle w:val="BodyText"/>
      </w:pPr>
      <w:r>
        <w:t xml:space="preserve">(3) Canary (</w:t>
      </w:r>
      <w:r>
        <w:rPr>
          <w:iCs/>
          <w:i/>
        </w:rPr>
        <w:t xml:space="preserve">S. pinniger</w:t>
      </w:r>
      <w:r>
        <w:t xml:space="preserve">) and</w:t>
      </w:r>
    </w:p>
    <w:p>
      <w:pPr>
        <w:pStyle w:val="BodyText"/>
      </w:pPr>
      <w:r>
        <w:t xml:space="preserve">(4) Blue rockfish (</w:t>
      </w:r>
      <w:r>
        <w:rPr>
          <w:iCs/>
          <w:i/>
        </w:rPr>
        <w:t xml:space="preserve">S. mystinus</w:t>
      </w:r>
      <w:r>
        <w:t xml:space="preserve">) to species.</w:t>
      </w:r>
    </w:p>
    <w:p>
      <w:pPr>
        <w:pStyle w:val="BodyText"/>
      </w:pPr>
      <w:r>
        <w:t xml:space="preserve">(5) Unidentified individuals were categorized as juvenile rockfishes.</w:t>
      </w:r>
    </w:p>
    <w:p>
      <w:pPr>
        <w:pStyle w:val="BodyText"/>
      </w:pPr>
      <w:r>
        <w:t xml:space="preserve">The estimated recruitment trend for (1), the black rockfish and yellowtail rockfish complex, is presented here.</w:t>
      </w:r>
    </w:p>
    <w:tbl>
      <w:tblPr>
        <w:tblStyle w:val="Table"/>
        <w:tblW w:type="pct" w:w="5000"/>
        <w:tblLook w:firstRow="0" w:lastRow="0" w:firstColumn="0" w:lastColumn="0" w:noHBand="0" w:noVBand="0" w:val="0000"/>
        <w:jc w:val="start"/>
      </w:tblPr>
      <w:tblGrid>
        <w:gridCol w:w="7920"/>
      </w:tblGrid>
      <w:tr>
        <w:tc>
          <w:tcPr/>
          <w:bookmarkStart w:id="23" w:name="fig-site-map"/>
          <w:p>
            <w:pPr>
              <w:jc w:val="center"/>
            </w:pPr>
            <w:r>
              <w:drawing>
                <wp:inline>
                  <wp:extent cx="4620126" cy="3696101"/>
                  <wp:effectExtent b="0" l="0" r="0" t="0"/>
                  <wp:docPr descr="" title="" id="21" name="Picture"/>
                  <a:graphic>
                    <a:graphicData uri="http://schemas.openxmlformats.org/drawingml/2006/picture">
                      <pic:pic>
                        <pic:nvPicPr>
                          <pic:cNvPr descr="_01_OCNMS-rockfish-YOY-analysis_files/figure-docx/fig-site-map-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Dive survey locations along the coast of Washington state.</w:t>
            </w:r>
          </w:p>
          <w:bookmarkEnd w:id="23"/>
        </w:tc>
      </w:tr>
    </w:tbl>
    <w:p>
      <w:pPr>
        <w:pStyle w:val="BodyText"/>
      </w:pPr>
      <w:r>
        <w:t xml:space="preserve">As a result of our 2-m visibility requirements, some transects were omitted from the analyses. The following tables (</w:t>
      </w:r>
      <w:hyperlink w:anchor="tbl-2m-samples-YS">
        <w:r>
          <w:rPr>
            <w:rStyle w:val="Hyperlink"/>
          </w:rPr>
          <w:t xml:space="preserve">Table 2</w:t>
        </w:r>
      </w:hyperlink>
      <w:r>
        <w:t xml:space="preserve">) show how the number fish transects with visibility &gt;2 m were distributed across depth, site, and years (</w:t>
      </w:r>
      <w:hyperlink w:anchor="tbl-2m-samples-YSD">
        <w:r>
          <w:rPr>
            <w:rStyle w:val="Hyperlink"/>
          </w:rPr>
          <w:t xml:space="preserve">Table 1</w:t>
        </w:r>
      </w:hyperlink>
      <w:r>
        <w:t xml:space="preserve">), as well as across sites and year (</w:t>
      </w:r>
      <w:hyperlink w:anchor="tbl-2m-samples-YS">
        <w:r>
          <w:rPr>
            <w:rStyle w:val="Hyperlink"/>
          </w:rPr>
          <w:t xml:space="preserve">Table 2</w:t>
        </w:r>
      </w:hyperlink>
      <w:r>
        <w:t xml:space="preserve">). 2015 includes only surveys conducted at 5-m depth; other years have data approximately evenly split between 5-m and 10-m depths.</w:t>
      </w:r>
    </w:p>
    <w:bookmarkStart w:id="24" w:name="tbl-2m-samples-YSD"/>
    <w:p>
      <w:pPr>
        <w:pStyle w:val="TableCaption"/>
      </w:pPr>
      <w:r>
        <w:t xml:space="preserve">Table 1: Number of transects conducted by year, site and depth zone. Only transects that had at least 2m visibility are included</w:t>
      </w:r>
    </w:p>
    <w:tbl>
      <w:tblPr>
        <w:tblStyle w:val="Table"/>
        <w:tblW w:type="pct" w:w="5000"/>
        <w:tblLook w:firstRow="1" w:lastRow="0" w:firstColumn="0" w:lastColumn="0" w:noHBand="0" w:noVBand="0" w:val="0020"/>
        <w:jc w:val="start"/>
        <w:tblCaption w:val="Table 1: Number of transects conducted by year, site and depth zone. Only transects that had at least 2m visibility are included"/>
      </w:tblPr>
      <w:tblGrid>
        <w:gridCol w:w="477"/>
        <w:gridCol w:w="477"/>
        <w:gridCol w:w="1813"/>
        <w:gridCol w:w="1240"/>
        <w:gridCol w:w="1049"/>
        <w:gridCol w:w="1431"/>
        <w:gridCol w:w="858"/>
        <w:gridCol w:w="572"/>
      </w:tblGrid>
      <w:tr>
        <w:trPr>
          <w:tblHeader w:val="true"/>
        </w:trPr>
        <w:tc>
          <w:tcPr/>
          <w:p>
            <w:pPr>
              <w:pStyle w:val="Compact"/>
              <w:jc w:val="right"/>
            </w:pPr>
            <w:r>
              <w:t xml:space="preserve">Year</w:t>
            </w:r>
          </w:p>
        </w:tc>
        <w:tc>
          <w:tcPr/>
          <w:p>
            <w:pPr>
              <w:pStyle w:val="Compact"/>
              <w:jc w:val="right"/>
            </w:pPr>
            <w:r>
              <w:t xml:space="preserve">Zone</w:t>
            </w:r>
          </w:p>
        </w:tc>
        <w:tc>
          <w:tcPr/>
          <w:p>
            <w:pPr>
              <w:pStyle w:val="Compact"/>
              <w:jc w:val="right"/>
            </w:pPr>
            <w:r>
              <w:t xml:space="preserve">Destruction Island</w:t>
            </w:r>
          </w:p>
        </w:tc>
        <w:tc>
          <w:tcPr/>
          <w:p>
            <w:pPr>
              <w:pStyle w:val="Compact"/>
              <w:jc w:val="right"/>
            </w:pPr>
            <w:r>
              <w:t xml:space="preserve">Cape Johnson</w:t>
            </w:r>
          </w:p>
        </w:tc>
        <w:tc>
          <w:tcPr/>
          <w:p>
            <w:pPr>
              <w:pStyle w:val="Compact"/>
              <w:jc w:val="right"/>
            </w:pPr>
            <w:r>
              <w:t xml:space="preserve">Cape Alava</w:t>
            </w:r>
          </w:p>
        </w:tc>
        <w:tc>
          <w:tcPr/>
          <w:p>
            <w:pPr>
              <w:pStyle w:val="Compact"/>
              <w:jc w:val="right"/>
            </w:pPr>
            <w:r>
              <w:t xml:space="preserve">Tatoosh Island</w:t>
            </w:r>
          </w:p>
        </w:tc>
        <w:tc>
          <w:tcPr/>
          <w:p>
            <w:pPr>
              <w:pStyle w:val="Compact"/>
              <w:jc w:val="right"/>
            </w:pPr>
            <w:r>
              <w:t xml:space="preserve">Neah Bay</w:t>
            </w:r>
          </w:p>
        </w:tc>
        <w:tc>
          <w:tcPr/>
          <w:p>
            <w:pPr>
              <w:pStyle w:val="Compact"/>
              <w:jc w:val="right"/>
            </w:pPr>
            <w:r>
              <w:t xml:space="preserve">Total</w:t>
            </w:r>
          </w:p>
        </w:tc>
      </w:tr>
      <w:tr>
        <w:tc>
          <w:tcPr/>
          <w:p>
            <w:pPr>
              <w:pStyle w:val="Compact"/>
              <w:jc w:val="right"/>
            </w:pPr>
            <w:r>
              <w:t xml:space="preserve">2016</w:t>
            </w:r>
          </w:p>
        </w:tc>
        <w:tc>
          <w:tcPr/>
          <w:p>
            <w:pPr>
              <w:pStyle w:val="Compact"/>
              <w:jc w:val="right"/>
            </w:pPr>
            <w:r>
              <w:t xml:space="preserve">5</w:t>
            </w:r>
          </w:p>
        </w:tc>
        <w:tc>
          <w:tcPr/>
          <w:p>
            <w:pPr>
              <w:pStyle w:val="Compact"/>
              <w:jc w:val="right"/>
            </w:pPr>
            <w:r>
              <w:t xml:space="preserve">0</w:t>
            </w:r>
          </w:p>
        </w:tc>
        <w:tc>
          <w:tcPr/>
          <w:p>
            <w:pPr>
              <w:pStyle w:val="Compact"/>
              <w:jc w:val="right"/>
            </w:pPr>
            <w:r>
              <w:t xml:space="preserve">4</w:t>
            </w:r>
          </w:p>
        </w:tc>
        <w:tc>
          <w:tcPr/>
          <w:p>
            <w:pPr>
              <w:pStyle w:val="Compact"/>
              <w:jc w:val="right"/>
            </w:pPr>
            <w:r>
              <w:t xml:space="preserve">6</w:t>
            </w:r>
          </w:p>
        </w:tc>
        <w:tc>
          <w:tcPr/>
          <w:p>
            <w:pPr>
              <w:pStyle w:val="Compact"/>
              <w:jc w:val="right"/>
            </w:pPr>
            <w:r>
              <w:t xml:space="preserve">4</w:t>
            </w:r>
          </w:p>
        </w:tc>
        <w:tc>
          <w:tcPr/>
          <w:p>
            <w:pPr>
              <w:pStyle w:val="Compact"/>
              <w:jc w:val="right"/>
            </w:pPr>
            <w:r>
              <w:t xml:space="preserve">4</w:t>
            </w:r>
          </w:p>
        </w:tc>
        <w:tc>
          <w:tcPr/>
          <w:p>
            <w:pPr>
              <w:pStyle w:val="Compact"/>
              <w:jc w:val="right"/>
            </w:pPr>
            <w:r>
              <w:t xml:space="preserve">18</w:t>
            </w:r>
          </w:p>
        </w:tc>
      </w:tr>
      <w:tr>
        <w:tc>
          <w:tcPr/>
          <w:p>
            <w:pPr>
              <w:pStyle w:val="Compact"/>
              <w:jc w:val="right"/>
            </w:pPr>
            <w:r>
              <w:t xml:space="preserve">2016</w:t>
            </w:r>
          </w:p>
        </w:tc>
        <w:tc>
          <w:tcPr/>
          <w:p>
            <w:pPr>
              <w:pStyle w:val="Compact"/>
              <w:jc w:val="right"/>
            </w:pPr>
            <w:r>
              <w:t xml:space="preserve">10</w:t>
            </w:r>
          </w:p>
        </w:tc>
        <w:tc>
          <w:tcPr/>
          <w:p>
            <w:pPr>
              <w:pStyle w:val="Compact"/>
              <w:jc w:val="right"/>
            </w:pPr>
            <w:r>
              <w:t xml:space="preserve">3</w:t>
            </w:r>
          </w:p>
        </w:tc>
        <w:tc>
          <w:tcPr/>
          <w:p>
            <w:pPr>
              <w:pStyle w:val="Compact"/>
              <w:jc w:val="right"/>
            </w:pPr>
            <w:r>
              <w:t xml:space="preserve">6</w:t>
            </w:r>
          </w:p>
        </w:tc>
        <w:tc>
          <w:tcPr/>
          <w:p>
            <w:pPr>
              <w:pStyle w:val="Compact"/>
              <w:jc w:val="right"/>
            </w:pPr>
            <w:r>
              <w:t xml:space="preserve">6</w:t>
            </w:r>
          </w:p>
        </w:tc>
        <w:tc>
          <w:tcPr/>
          <w:p>
            <w:pPr>
              <w:pStyle w:val="Compact"/>
              <w:jc w:val="right"/>
            </w:pPr>
            <w:r>
              <w:t xml:space="preserve">4</w:t>
            </w:r>
          </w:p>
        </w:tc>
        <w:tc>
          <w:tcPr/>
          <w:p>
            <w:pPr>
              <w:pStyle w:val="Compact"/>
              <w:jc w:val="right"/>
            </w:pPr>
            <w:r>
              <w:t xml:space="preserve">6</w:t>
            </w:r>
          </w:p>
        </w:tc>
        <w:tc>
          <w:tcPr/>
          <w:p>
            <w:pPr>
              <w:pStyle w:val="Compact"/>
              <w:jc w:val="right"/>
            </w:pPr>
            <w:r>
              <w:t xml:space="preserve">25</w:t>
            </w:r>
          </w:p>
        </w:tc>
      </w:tr>
      <w:tr>
        <w:tc>
          <w:tcPr/>
          <w:p>
            <w:pPr>
              <w:pStyle w:val="Compact"/>
              <w:jc w:val="right"/>
            </w:pPr>
            <w:r>
              <w:t xml:space="preserve">2017</w:t>
            </w:r>
          </w:p>
        </w:tc>
        <w:tc>
          <w:tcPr/>
          <w:p>
            <w:pPr>
              <w:pStyle w:val="Compact"/>
              <w:jc w:val="right"/>
            </w:pPr>
            <w:r>
              <w:t xml:space="preserve">5</w:t>
            </w:r>
          </w:p>
        </w:tc>
        <w:tc>
          <w:tcPr/>
          <w:p>
            <w:pPr>
              <w:pStyle w:val="Compact"/>
              <w:jc w:val="right"/>
            </w:pPr>
            <w:r>
              <w:t xml:space="preserve">3</w:t>
            </w:r>
          </w:p>
        </w:tc>
        <w:tc>
          <w:tcPr/>
          <w:p>
            <w:pPr>
              <w:pStyle w:val="Compact"/>
              <w:jc w:val="right"/>
            </w:pPr>
            <w:r>
              <w:t xml:space="preserve">5</w:t>
            </w:r>
          </w:p>
        </w:tc>
        <w:tc>
          <w:tcPr/>
          <w:p>
            <w:pPr>
              <w:pStyle w:val="Compact"/>
              <w:jc w:val="right"/>
            </w:pPr>
            <w:r>
              <w:t xml:space="preserve">4</w:t>
            </w:r>
          </w:p>
        </w:tc>
        <w:tc>
          <w:tcPr/>
          <w:p>
            <w:pPr>
              <w:pStyle w:val="Compact"/>
              <w:jc w:val="right"/>
            </w:pPr>
            <w:r>
              <w:t xml:space="preserve">3</w:t>
            </w:r>
          </w:p>
        </w:tc>
        <w:tc>
          <w:tcPr/>
          <w:p>
            <w:pPr>
              <w:pStyle w:val="Compact"/>
              <w:jc w:val="right"/>
            </w:pPr>
            <w:r>
              <w:t xml:space="preserve">4</w:t>
            </w:r>
          </w:p>
        </w:tc>
        <w:tc>
          <w:tcPr/>
          <w:p>
            <w:pPr>
              <w:pStyle w:val="Compact"/>
              <w:jc w:val="right"/>
            </w:pPr>
            <w:r>
              <w:t xml:space="preserve">19</w:t>
            </w:r>
          </w:p>
        </w:tc>
      </w:tr>
      <w:tr>
        <w:tc>
          <w:tcPr/>
          <w:p>
            <w:pPr>
              <w:pStyle w:val="Compact"/>
              <w:jc w:val="right"/>
            </w:pPr>
            <w:r>
              <w:t xml:space="preserve">2017</w:t>
            </w:r>
          </w:p>
        </w:tc>
        <w:tc>
          <w:tcPr/>
          <w:p>
            <w:pPr>
              <w:pStyle w:val="Compact"/>
              <w:jc w:val="right"/>
            </w:pPr>
            <w:r>
              <w:t xml:space="preserve">10</w:t>
            </w:r>
          </w:p>
        </w:tc>
        <w:tc>
          <w:tcPr/>
          <w:p>
            <w:pPr>
              <w:pStyle w:val="Compact"/>
              <w:jc w:val="right"/>
            </w:pPr>
            <w:r>
              <w:t xml:space="preserve">0</w:t>
            </w:r>
          </w:p>
        </w:tc>
        <w:tc>
          <w:tcPr/>
          <w:p>
            <w:pPr>
              <w:pStyle w:val="Compact"/>
              <w:jc w:val="right"/>
            </w:pPr>
            <w:r>
              <w:t xml:space="preserve">4</w:t>
            </w:r>
          </w:p>
        </w:tc>
        <w:tc>
          <w:tcPr/>
          <w:p>
            <w:pPr>
              <w:pStyle w:val="Compact"/>
              <w:jc w:val="right"/>
            </w:pPr>
            <w:r>
              <w:t xml:space="preserve">6</w:t>
            </w:r>
          </w:p>
        </w:tc>
        <w:tc>
          <w:tcPr/>
          <w:p>
            <w:pPr>
              <w:pStyle w:val="Compact"/>
              <w:jc w:val="right"/>
            </w:pPr>
            <w:r>
              <w:t xml:space="preserve">4</w:t>
            </w:r>
          </w:p>
        </w:tc>
        <w:tc>
          <w:tcPr/>
          <w:p>
            <w:pPr>
              <w:pStyle w:val="Compact"/>
              <w:jc w:val="right"/>
            </w:pPr>
            <w:r>
              <w:t xml:space="preserve">4</w:t>
            </w:r>
          </w:p>
        </w:tc>
        <w:tc>
          <w:tcPr/>
          <w:p>
            <w:pPr>
              <w:pStyle w:val="Compact"/>
              <w:jc w:val="right"/>
            </w:pPr>
            <w:r>
              <w:t xml:space="preserve">18</w:t>
            </w:r>
          </w:p>
        </w:tc>
      </w:tr>
      <w:tr>
        <w:tc>
          <w:tcPr/>
          <w:p>
            <w:pPr>
              <w:pStyle w:val="Compact"/>
              <w:jc w:val="right"/>
            </w:pPr>
            <w:r>
              <w:t xml:space="preserve">2018</w:t>
            </w:r>
          </w:p>
        </w:tc>
        <w:tc>
          <w:tcPr/>
          <w:p>
            <w:pPr>
              <w:pStyle w:val="Compact"/>
              <w:jc w:val="right"/>
            </w:pPr>
            <w:r>
              <w:t xml:space="preserve">5</w:t>
            </w:r>
          </w:p>
        </w:tc>
        <w:tc>
          <w:tcPr/>
          <w:p>
            <w:pPr>
              <w:pStyle w:val="Compact"/>
              <w:jc w:val="right"/>
            </w:pPr>
            <w:r>
              <w:t xml:space="preserve">0</w:t>
            </w:r>
          </w:p>
        </w:tc>
        <w:tc>
          <w:tcPr/>
          <w:p>
            <w:pPr>
              <w:pStyle w:val="Compact"/>
              <w:jc w:val="right"/>
            </w:pPr>
            <w:r>
              <w:t xml:space="preserve">4</w:t>
            </w:r>
          </w:p>
        </w:tc>
        <w:tc>
          <w:tcPr/>
          <w:p>
            <w:pPr>
              <w:pStyle w:val="Compact"/>
              <w:jc w:val="right"/>
            </w:pPr>
            <w:r>
              <w:t xml:space="preserve">4</w:t>
            </w:r>
          </w:p>
        </w:tc>
        <w:tc>
          <w:tcPr/>
          <w:p>
            <w:pPr>
              <w:pStyle w:val="Compact"/>
              <w:jc w:val="right"/>
            </w:pPr>
            <w:r>
              <w:t xml:space="preserve">8</w:t>
            </w:r>
          </w:p>
        </w:tc>
        <w:tc>
          <w:tcPr/>
          <w:p>
            <w:pPr>
              <w:pStyle w:val="Compact"/>
              <w:jc w:val="right"/>
            </w:pPr>
            <w:r>
              <w:t xml:space="preserve">4</w:t>
            </w:r>
          </w:p>
        </w:tc>
        <w:tc>
          <w:tcPr/>
          <w:p>
            <w:pPr>
              <w:pStyle w:val="Compact"/>
              <w:jc w:val="right"/>
            </w:pPr>
            <w:r>
              <w:t xml:space="preserve">20</w:t>
            </w:r>
          </w:p>
        </w:tc>
      </w:tr>
      <w:tr>
        <w:tc>
          <w:tcPr/>
          <w:p>
            <w:pPr>
              <w:pStyle w:val="Compact"/>
              <w:jc w:val="right"/>
            </w:pPr>
            <w:r>
              <w:t xml:space="preserve">2018</w:t>
            </w:r>
          </w:p>
        </w:tc>
        <w:tc>
          <w:tcPr/>
          <w:p>
            <w:pPr>
              <w:pStyle w:val="Compact"/>
              <w:jc w:val="right"/>
            </w:pPr>
            <w:r>
              <w:t xml:space="preserve">10</w:t>
            </w:r>
          </w:p>
        </w:tc>
        <w:tc>
          <w:tcPr/>
          <w:p>
            <w:pPr>
              <w:pStyle w:val="Compact"/>
              <w:jc w:val="right"/>
            </w:pPr>
            <w:r>
              <w:t xml:space="preserve">0</w:t>
            </w:r>
          </w:p>
        </w:tc>
        <w:tc>
          <w:tcPr/>
          <w:p>
            <w:pPr>
              <w:pStyle w:val="Compact"/>
              <w:jc w:val="right"/>
            </w:pPr>
            <w:r>
              <w:t xml:space="preserve">3</w:t>
            </w:r>
          </w:p>
        </w:tc>
        <w:tc>
          <w:tcPr/>
          <w:p>
            <w:pPr>
              <w:pStyle w:val="Compact"/>
              <w:jc w:val="right"/>
            </w:pPr>
            <w:r>
              <w:t xml:space="preserve">8</w:t>
            </w:r>
          </w:p>
        </w:tc>
        <w:tc>
          <w:tcPr/>
          <w:p>
            <w:pPr>
              <w:pStyle w:val="Compact"/>
              <w:jc w:val="right"/>
            </w:pPr>
            <w:r>
              <w:t xml:space="preserve">7</w:t>
            </w:r>
          </w:p>
        </w:tc>
        <w:tc>
          <w:tcPr/>
          <w:p>
            <w:pPr>
              <w:pStyle w:val="Compact"/>
              <w:jc w:val="right"/>
            </w:pPr>
            <w:r>
              <w:t xml:space="preserve">8</w:t>
            </w:r>
          </w:p>
        </w:tc>
        <w:tc>
          <w:tcPr/>
          <w:p>
            <w:pPr>
              <w:pStyle w:val="Compact"/>
              <w:jc w:val="right"/>
            </w:pPr>
            <w:r>
              <w:t xml:space="preserve">26</w:t>
            </w:r>
          </w:p>
        </w:tc>
      </w:tr>
      <w:tr>
        <w:tc>
          <w:tcPr/>
          <w:p>
            <w:pPr>
              <w:pStyle w:val="Compact"/>
              <w:jc w:val="right"/>
            </w:pPr>
            <w:r>
              <w:t xml:space="preserve">2019</w:t>
            </w:r>
          </w:p>
        </w:tc>
        <w:tc>
          <w:tcPr/>
          <w:p>
            <w:pPr>
              <w:pStyle w:val="Compact"/>
              <w:jc w:val="right"/>
            </w:pPr>
            <w:r>
              <w:t xml:space="preserve">5</w:t>
            </w:r>
          </w:p>
        </w:tc>
        <w:tc>
          <w:tcPr/>
          <w:p>
            <w:pPr>
              <w:pStyle w:val="Compact"/>
              <w:jc w:val="right"/>
            </w:pPr>
            <w:r>
              <w:t xml:space="preserve">4</w:t>
            </w:r>
          </w:p>
        </w:tc>
        <w:tc>
          <w:tcPr/>
          <w:p>
            <w:pPr>
              <w:pStyle w:val="Compact"/>
              <w:jc w:val="right"/>
            </w:pPr>
            <w:r>
              <w:t xml:space="preserve">4</w:t>
            </w:r>
          </w:p>
        </w:tc>
        <w:tc>
          <w:tcPr/>
          <w:p>
            <w:pPr>
              <w:pStyle w:val="Compact"/>
              <w:jc w:val="right"/>
            </w:pPr>
            <w:r>
              <w:t xml:space="preserve">8</w:t>
            </w:r>
          </w:p>
        </w:tc>
        <w:tc>
          <w:tcPr/>
          <w:p>
            <w:pPr>
              <w:pStyle w:val="Compact"/>
              <w:jc w:val="right"/>
            </w:pPr>
            <w:r>
              <w:t xml:space="preserve">8</w:t>
            </w:r>
          </w:p>
        </w:tc>
        <w:tc>
          <w:tcPr/>
          <w:p>
            <w:pPr>
              <w:pStyle w:val="Compact"/>
              <w:jc w:val="right"/>
            </w:pPr>
            <w:r>
              <w:t xml:space="preserve">7</w:t>
            </w:r>
          </w:p>
        </w:tc>
        <w:tc>
          <w:tcPr/>
          <w:p>
            <w:pPr>
              <w:pStyle w:val="Compact"/>
              <w:jc w:val="right"/>
            </w:pPr>
            <w:r>
              <w:t xml:space="preserve">31</w:t>
            </w:r>
          </w:p>
        </w:tc>
      </w:tr>
      <w:tr>
        <w:tc>
          <w:tcPr/>
          <w:p>
            <w:pPr>
              <w:pStyle w:val="Compact"/>
              <w:jc w:val="right"/>
            </w:pPr>
            <w:r>
              <w:t xml:space="preserve">2019</w:t>
            </w:r>
          </w:p>
        </w:tc>
        <w:tc>
          <w:tcPr/>
          <w:p>
            <w:pPr>
              <w:pStyle w:val="Compact"/>
              <w:jc w:val="right"/>
            </w:pPr>
            <w:r>
              <w:t xml:space="preserve">10</w:t>
            </w:r>
          </w:p>
        </w:tc>
        <w:tc>
          <w:tcPr/>
          <w:p>
            <w:pPr>
              <w:pStyle w:val="Compact"/>
              <w:jc w:val="right"/>
            </w:pPr>
            <w:r>
              <w:t xml:space="preserve">8</w:t>
            </w:r>
          </w:p>
        </w:tc>
        <w:tc>
          <w:tcPr/>
          <w:p>
            <w:pPr>
              <w:pStyle w:val="Compact"/>
              <w:jc w:val="right"/>
            </w:pPr>
            <w:r>
              <w:t xml:space="preserve">7</w:t>
            </w:r>
          </w:p>
        </w:tc>
        <w:tc>
          <w:tcPr/>
          <w:p>
            <w:pPr>
              <w:pStyle w:val="Compact"/>
              <w:jc w:val="right"/>
            </w:pPr>
            <w:r>
              <w:t xml:space="preserve">8</w:t>
            </w:r>
          </w:p>
        </w:tc>
        <w:tc>
          <w:tcPr/>
          <w:p>
            <w:pPr>
              <w:pStyle w:val="Compact"/>
              <w:jc w:val="right"/>
            </w:pPr>
            <w:r>
              <w:t xml:space="preserve">6</w:t>
            </w:r>
          </w:p>
        </w:tc>
        <w:tc>
          <w:tcPr/>
          <w:p>
            <w:pPr>
              <w:pStyle w:val="Compact"/>
              <w:jc w:val="right"/>
            </w:pPr>
            <w:r>
              <w:t xml:space="preserve">8</w:t>
            </w:r>
          </w:p>
        </w:tc>
        <w:tc>
          <w:tcPr/>
          <w:p>
            <w:pPr>
              <w:pStyle w:val="Compact"/>
              <w:jc w:val="right"/>
            </w:pPr>
            <w:r>
              <w:t xml:space="preserve">37</w:t>
            </w:r>
          </w:p>
        </w:tc>
      </w:tr>
      <w:tr>
        <w:tc>
          <w:tcPr/>
          <w:p>
            <w:pPr>
              <w:pStyle w:val="Compact"/>
              <w:jc w:val="right"/>
            </w:pPr>
            <w:r>
              <w:t xml:space="preserve">2021</w:t>
            </w:r>
          </w:p>
        </w:tc>
        <w:tc>
          <w:tcPr/>
          <w:p>
            <w:pPr>
              <w:pStyle w:val="Compact"/>
              <w:jc w:val="right"/>
            </w:pPr>
            <w:r>
              <w:t xml:space="preserve">5</w:t>
            </w:r>
          </w:p>
        </w:tc>
        <w:tc>
          <w:tcPr/>
          <w:p>
            <w:pPr>
              <w:pStyle w:val="Compact"/>
              <w:jc w:val="right"/>
            </w:pPr>
            <w:r>
              <w:t xml:space="preserve">4</w:t>
            </w:r>
          </w:p>
        </w:tc>
        <w:tc>
          <w:tcPr/>
          <w:p>
            <w:pPr>
              <w:pStyle w:val="Compact"/>
              <w:jc w:val="right"/>
            </w:pPr>
            <w:r>
              <w:t xml:space="preserve">8</w:t>
            </w:r>
          </w:p>
        </w:tc>
        <w:tc>
          <w:tcPr/>
          <w:p>
            <w:pPr>
              <w:pStyle w:val="Compact"/>
              <w:jc w:val="right"/>
            </w:pPr>
            <w:r>
              <w:t xml:space="preserve">7</w:t>
            </w:r>
          </w:p>
        </w:tc>
        <w:tc>
          <w:tcPr/>
          <w:p>
            <w:pPr>
              <w:pStyle w:val="Compact"/>
              <w:jc w:val="right"/>
            </w:pPr>
            <w:r>
              <w:t xml:space="preserve">8</w:t>
            </w:r>
          </w:p>
        </w:tc>
        <w:tc>
          <w:tcPr/>
          <w:p>
            <w:pPr>
              <w:pStyle w:val="Compact"/>
              <w:jc w:val="right"/>
            </w:pPr>
            <w:r>
              <w:t xml:space="preserve">8</w:t>
            </w:r>
          </w:p>
        </w:tc>
        <w:tc>
          <w:tcPr/>
          <w:p>
            <w:pPr>
              <w:pStyle w:val="Compact"/>
              <w:jc w:val="right"/>
            </w:pPr>
            <w:r>
              <w:t xml:space="preserve">35</w:t>
            </w:r>
          </w:p>
        </w:tc>
      </w:tr>
      <w:tr>
        <w:tc>
          <w:tcPr/>
          <w:p>
            <w:pPr>
              <w:pStyle w:val="Compact"/>
              <w:jc w:val="right"/>
            </w:pPr>
            <w:r>
              <w:t xml:space="preserve">2021</w:t>
            </w:r>
          </w:p>
        </w:tc>
        <w:tc>
          <w:tcPr/>
          <w:p>
            <w:pPr>
              <w:pStyle w:val="Compact"/>
              <w:jc w:val="right"/>
            </w:pPr>
            <w:r>
              <w:t xml:space="preserve">10</w:t>
            </w:r>
          </w:p>
        </w:tc>
        <w:tc>
          <w:tcPr/>
          <w:p>
            <w:pPr>
              <w:pStyle w:val="Compact"/>
              <w:jc w:val="right"/>
            </w:pPr>
            <w:r>
              <w:t xml:space="preserve">3</w:t>
            </w:r>
          </w:p>
        </w:tc>
        <w:tc>
          <w:tcPr/>
          <w:p>
            <w:pPr>
              <w:pStyle w:val="Compact"/>
              <w:jc w:val="right"/>
            </w:pPr>
            <w:r>
              <w:t xml:space="preserve">8</w:t>
            </w:r>
          </w:p>
        </w:tc>
        <w:tc>
          <w:tcPr/>
          <w:p>
            <w:pPr>
              <w:pStyle w:val="Compact"/>
              <w:jc w:val="right"/>
            </w:pPr>
            <w:r>
              <w:t xml:space="preserve">7</w:t>
            </w:r>
          </w:p>
        </w:tc>
        <w:tc>
          <w:tcPr/>
          <w:p>
            <w:pPr>
              <w:pStyle w:val="Compact"/>
              <w:jc w:val="right"/>
            </w:pPr>
            <w:r>
              <w:t xml:space="preserve">6</w:t>
            </w:r>
          </w:p>
        </w:tc>
        <w:tc>
          <w:tcPr/>
          <w:p>
            <w:pPr>
              <w:pStyle w:val="Compact"/>
              <w:jc w:val="right"/>
            </w:pPr>
            <w:r>
              <w:t xml:space="preserve">8</w:t>
            </w:r>
          </w:p>
        </w:tc>
        <w:tc>
          <w:tcPr/>
          <w:p>
            <w:pPr>
              <w:pStyle w:val="Compact"/>
              <w:jc w:val="right"/>
            </w:pPr>
            <w:r>
              <w:t xml:space="preserve">32</w:t>
            </w:r>
          </w:p>
        </w:tc>
      </w:tr>
      <w:tr>
        <w:tc>
          <w:tcPr/>
          <w:p>
            <w:pPr>
              <w:pStyle w:val="Compact"/>
              <w:jc w:val="right"/>
            </w:pPr>
            <w:r>
              <w:t xml:space="preserve">2022</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8</w:t>
            </w:r>
          </w:p>
        </w:tc>
        <w:tc>
          <w:tcPr/>
          <w:p>
            <w:pPr>
              <w:pStyle w:val="Compact"/>
              <w:jc w:val="right"/>
            </w:pPr>
            <w:r>
              <w:t xml:space="preserve">8</w:t>
            </w:r>
          </w:p>
        </w:tc>
        <w:tc>
          <w:tcPr/>
          <w:p>
            <w:pPr>
              <w:pStyle w:val="Compact"/>
              <w:jc w:val="right"/>
            </w:pPr>
            <w:r>
              <w:t xml:space="preserve">20</w:t>
            </w:r>
          </w:p>
        </w:tc>
      </w:tr>
      <w:tr>
        <w:tc>
          <w:tcPr/>
          <w:p>
            <w:pPr>
              <w:pStyle w:val="Compact"/>
              <w:jc w:val="right"/>
            </w:pPr>
            <w:r>
              <w:t xml:space="preserve">2022</w:t>
            </w:r>
          </w:p>
        </w:tc>
        <w:tc>
          <w:tcPr/>
          <w:p>
            <w:pPr>
              <w:pStyle w:val="Compact"/>
              <w:jc w:val="right"/>
            </w:pPr>
            <w:r>
              <w:t xml:space="preserve">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7</w:t>
            </w:r>
          </w:p>
        </w:tc>
        <w:tc>
          <w:tcPr/>
          <w:p>
            <w:pPr>
              <w:pStyle w:val="Compact"/>
              <w:jc w:val="right"/>
            </w:pPr>
            <w:r>
              <w:t xml:space="preserve">6</w:t>
            </w:r>
          </w:p>
        </w:tc>
        <w:tc>
          <w:tcPr/>
          <w:p>
            <w:pPr>
              <w:pStyle w:val="Compact"/>
              <w:jc w:val="right"/>
            </w:pPr>
            <w:r>
              <w:t xml:space="preserve">5</w:t>
            </w:r>
          </w:p>
        </w:tc>
        <w:tc>
          <w:tcPr/>
          <w:p>
            <w:pPr>
              <w:pStyle w:val="Compact"/>
              <w:jc w:val="right"/>
            </w:pPr>
            <w:r>
              <w:t xml:space="preserve">18</w:t>
            </w:r>
          </w:p>
        </w:tc>
      </w:tr>
      <w:tr>
        <w:tc>
          <w:tcPr/>
          <w:p>
            <w:pPr>
              <w:pStyle w:val="Compact"/>
              <w:jc w:val="right"/>
            </w:pPr>
            <w:r>
              <w:t xml:space="preserve">2023</w:t>
            </w:r>
          </w:p>
        </w:tc>
        <w:tc>
          <w:tcPr/>
          <w:p>
            <w:pPr>
              <w:pStyle w:val="Compact"/>
              <w:jc w:val="right"/>
            </w:pPr>
            <w:r>
              <w:t xml:space="preserve">5</w:t>
            </w:r>
          </w:p>
        </w:tc>
        <w:tc>
          <w:tcPr/>
          <w:p>
            <w:pPr>
              <w:pStyle w:val="Compact"/>
              <w:jc w:val="right"/>
            </w:pPr>
            <w:r>
              <w:t xml:space="preserve">6</w:t>
            </w:r>
          </w:p>
        </w:tc>
        <w:tc>
          <w:tcPr/>
          <w:p>
            <w:pPr>
              <w:pStyle w:val="Compact"/>
              <w:jc w:val="right"/>
            </w:pPr>
            <w:r>
              <w:t xml:space="preserve">8</w:t>
            </w:r>
          </w:p>
        </w:tc>
        <w:tc>
          <w:tcPr/>
          <w:p>
            <w:pPr>
              <w:pStyle w:val="Compact"/>
              <w:jc w:val="right"/>
            </w:pPr>
            <w:r>
              <w:t xml:space="preserve">8</w:t>
            </w:r>
          </w:p>
        </w:tc>
        <w:tc>
          <w:tcPr/>
          <w:p>
            <w:pPr>
              <w:pStyle w:val="Compact"/>
              <w:jc w:val="right"/>
            </w:pPr>
            <w:r>
              <w:t xml:space="preserve">8</w:t>
            </w:r>
          </w:p>
        </w:tc>
        <w:tc>
          <w:tcPr/>
          <w:p>
            <w:pPr>
              <w:pStyle w:val="Compact"/>
              <w:jc w:val="right"/>
            </w:pPr>
            <w:r>
              <w:t xml:space="preserve">10</w:t>
            </w:r>
          </w:p>
        </w:tc>
        <w:tc>
          <w:tcPr/>
          <w:p>
            <w:pPr>
              <w:pStyle w:val="Compact"/>
              <w:jc w:val="right"/>
            </w:pPr>
            <w:r>
              <w:t xml:space="preserve">40</w:t>
            </w:r>
          </w:p>
        </w:tc>
      </w:tr>
      <w:tr>
        <w:tc>
          <w:tcPr/>
          <w:p>
            <w:pPr>
              <w:pStyle w:val="Compact"/>
              <w:jc w:val="right"/>
            </w:pPr>
            <w:r>
              <w:t xml:space="preserve">2023</w:t>
            </w:r>
          </w:p>
        </w:tc>
        <w:tc>
          <w:tcPr/>
          <w:p>
            <w:pPr>
              <w:pStyle w:val="Compact"/>
              <w:jc w:val="right"/>
            </w:pPr>
            <w:r>
              <w:t xml:space="preserve">10</w:t>
            </w:r>
          </w:p>
        </w:tc>
        <w:tc>
          <w:tcPr/>
          <w:p>
            <w:pPr>
              <w:pStyle w:val="Compact"/>
              <w:jc w:val="right"/>
            </w:pPr>
            <w:r>
              <w:t xml:space="preserve">4</w:t>
            </w:r>
          </w:p>
        </w:tc>
        <w:tc>
          <w:tcPr/>
          <w:p>
            <w:pPr>
              <w:pStyle w:val="Compact"/>
              <w:jc w:val="right"/>
            </w:pPr>
            <w:r>
              <w:t xml:space="preserve">9</w:t>
            </w:r>
          </w:p>
        </w:tc>
        <w:tc>
          <w:tcPr/>
          <w:p>
            <w:pPr>
              <w:pStyle w:val="Compact"/>
              <w:jc w:val="right"/>
            </w:pPr>
            <w:r>
              <w:t xml:space="preserve">8</w:t>
            </w:r>
          </w:p>
        </w:tc>
        <w:tc>
          <w:tcPr/>
          <w:p>
            <w:pPr>
              <w:pStyle w:val="Compact"/>
              <w:jc w:val="right"/>
            </w:pPr>
            <w:r>
              <w:t xml:space="preserve">8</w:t>
            </w:r>
          </w:p>
        </w:tc>
        <w:tc>
          <w:tcPr/>
          <w:p>
            <w:pPr>
              <w:pStyle w:val="Compact"/>
              <w:jc w:val="right"/>
            </w:pPr>
            <w:r>
              <w:t xml:space="preserve">7</w:t>
            </w:r>
          </w:p>
        </w:tc>
        <w:tc>
          <w:tcPr/>
          <w:p>
            <w:pPr>
              <w:pStyle w:val="Compact"/>
              <w:jc w:val="right"/>
            </w:pPr>
            <w:r>
              <w:t xml:space="preserve">36</w:t>
            </w:r>
          </w:p>
        </w:tc>
      </w:tr>
      <w:tr>
        <w:tc>
          <w:tcPr/>
          <w:p>
            <w:pPr>
              <w:pStyle w:val="Compact"/>
              <w:jc w:val="right"/>
            </w:pPr>
            <w:r>
              <w:t xml:space="preserve">2024</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4</w:t>
            </w:r>
          </w:p>
        </w:tc>
        <w:tc>
          <w:tcPr/>
          <w:p>
            <w:pPr>
              <w:pStyle w:val="Compact"/>
              <w:jc w:val="right"/>
            </w:pPr>
            <w:r>
              <w:t xml:space="preserve">4</w:t>
            </w:r>
          </w:p>
        </w:tc>
        <w:tc>
          <w:tcPr/>
          <w:p>
            <w:pPr>
              <w:pStyle w:val="Compact"/>
              <w:jc w:val="right"/>
            </w:pPr>
            <w:r>
              <w:t xml:space="preserve">12</w:t>
            </w:r>
          </w:p>
        </w:tc>
      </w:tr>
      <w:tr>
        <w:tc>
          <w:tcPr/>
          <w:p>
            <w:pPr>
              <w:pStyle w:val="Compact"/>
              <w:jc w:val="right"/>
            </w:pPr>
            <w:r>
              <w:t xml:space="preserve">2024</w:t>
            </w:r>
          </w:p>
        </w:tc>
        <w:tc>
          <w:tcPr/>
          <w:p>
            <w:pPr>
              <w:pStyle w:val="Compact"/>
              <w:jc w:val="right"/>
            </w:pPr>
            <w:r>
              <w:t xml:space="preserve">10</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9</w:t>
            </w:r>
          </w:p>
        </w:tc>
        <w:tc>
          <w:tcPr/>
          <w:p>
            <w:pPr>
              <w:pStyle w:val="Compact"/>
              <w:jc w:val="right"/>
            </w:pPr>
            <w:r>
              <w:t xml:space="preserve">9</w:t>
            </w:r>
          </w:p>
        </w:tc>
        <w:tc>
          <w:tcPr/>
          <w:p>
            <w:pPr>
              <w:pStyle w:val="Compact"/>
              <w:jc w:val="right"/>
            </w:pPr>
            <w:r>
              <w:t xml:space="preserve">24</w:t>
            </w:r>
          </w:p>
        </w:tc>
      </w:tr>
    </w:tbl>
    <w:bookmarkEnd w:id="24"/>
    <w:p>
      <w:r>
        <w:br w:type="page"/>
      </w:r>
    </w:p>
    <w:bookmarkStart w:id="25" w:name="tbl-2m-samples-YS"/>
    <w:p>
      <w:pPr>
        <w:pStyle w:val="TableCaption"/>
      </w:pPr>
      <w:r>
        <w:t xml:space="preserve">Table 2: Number of transects conducted by year and site. Only transects that had at least 2-m visibility are included</w:t>
      </w:r>
    </w:p>
    <w:tbl>
      <w:tblPr>
        <w:tblStyle w:val="Table"/>
        <w:tblW w:type="auto" w:w="0"/>
        <w:tblLook w:firstRow="1" w:lastRow="0" w:firstColumn="0" w:lastColumn="0" w:noHBand="0" w:noVBand="0" w:val="0020"/>
        <w:jc w:val="start"/>
        <w:tblCaption w:val="Table 2: Number of transects conducted by year and site. Only transects that had at least 2-m visibility are included"/>
      </w:tblPr>
      <w:tblGrid>
        <w:gridCol w:w="880"/>
        <w:gridCol w:w="880"/>
        <w:gridCol w:w="880"/>
        <w:gridCol w:w="880"/>
        <w:gridCol w:w="880"/>
        <w:gridCol w:w="880"/>
        <w:gridCol w:w="880"/>
        <w:gridCol w:w="880"/>
        <w:gridCol w:w="880"/>
      </w:tblGrid>
      <w:tr>
        <w:trPr>
          <w:tblHeader w:val="true"/>
        </w:trPr>
        <w:tc>
          <w:tcPr/>
          <w:p>
            <w:pPr>
              <w:pStyle w:val="Compact"/>
              <w:jc w:val="left"/>
            </w:pPr>
            <w:r>
              <w:t xml:space="preserve">Site</w:t>
            </w:r>
          </w:p>
        </w:tc>
        <w:tc>
          <w:tcPr/>
          <w:p>
            <w:pPr>
              <w:pStyle w:val="Compact"/>
              <w:jc w:val="right"/>
            </w:pPr>
            <w:r>
              <w:t xml:space="preserve">2016</w:t>
            </w:r>
          </w:p>
        </w:tc>
        <w:tc>
          <w:tcPr/>
          <w:p>
            <w:pPr>
              <w:pStyle w:val="Compact"/>
              <w:jc w:val="right"/>
            </w:pPr>
            <w:r>
              <w:t xml:space="preserve">2017</w:t>
            </w:r>
          </w:p>
        </w:tc>
        <w:tc>
          <w:tcPr/>
          <w:p>
            <w:pPr>
              <w:pStyle w:val="Compact"/>
              <w:jc w:val="right"/>
            </w:pPr>
            <w:r>
              <w:t xml:space="preserve">2018</w:t>
            </w:r>
          </w:p>
        </w:tc>
        <w:tc>
          <w:tcPr/>
          <w:p>
            <w:pPr>
              <w:pStyle w:val="Compact"/>
              <w:jc w:val="right"/>
            </w:pPr>
            <w:r>
              <w:t xml:space="preserve">2019</w:t>
            </w:r>
          </w:p>
        </w:tc>
        <w:tc>
          <w:tcPr/>
          <w:p>
            <w:pPr>
              <w:pStyle w:val="Compact"/>
              <w:jc w:val="right"/>
            </w:pPr>
            <w:r>
              <w:t xml:space="preserve">2021</w:t>
            </w:r>
          </w:p>
        </w:tc>
        <w:tc>
          <w:tcPr/>
          <w:p>
            <w:pPr>
              <w:pStyle w:val="Compact"/>
              <w:jc w:val="right"/>
            </w:pPr>
            <w:r>
              <w:t xml:space="preserve">2022</w:t>
            </w:r>
          </w:p>
        </w:tc>
        <w:tc>
          <w:tcPr/>
          <w:p>
            <w:pPr>
              <w:pStyle w:val="Compact"/>
              <w:jc w:val="right"/>
            </w:pPr>
            <w:r>
              <w:t xml:space="preserve">2023</w:t>
            </w:r>
          </w:p>
        </w:tc>
        <w:tc>
          <w:tcPr/>
          <w:p>
            <w:pPr>
              <w:pStyle w:val="Compact"/>
              <w:jc w:val="right"/>
            </w:pPr>
            <w:r>
              <w:t xml:space="preserve">2024</w:t>
            </w:r>
          </w:p>
        </w:tc>
      </w:tr>
      <w:tr>
        <w:tc>
          <w:tcPr/>
          <w:p>
            <w:pPr>
              <w:pStyle w:val="Compact"/>
              <w:jc w:val="left"/>
            </w:pPr>
            <w:r>
              <w:t xml:space="preserve">Destruction Island</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12</w:t>
            </w:r>
          </w:p>
        </w:tc>
        <w:tc>
          <w:tcPr/>
          <w:p>
            <w:pPr>
              <w:pStyle w:val="Compact"/>
              <w:jc w:val="right"/>
            </w:pPr>
            <w:r>
              <w:t xml:space="preserve">7</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w:t>
            </w:r>
          </w:p>
        </w:tc>
      </w:tr>
      <w:tr>
        <w:tc>
          <w:tcPr/>
          <w:p>
            <w:pPr>
              <w:pStyle w:val="Compact"/>
              <w:jc w:val="left"/>
            </w:pPr>
            <w:r>
              <w:t xml:space="preserve">Cape Johnson</w:t>
            </w:r>
          </w:p>
        </w:tc>
        <w:tc>
          <w:tcPr/>
          <w:p>
            <w:pPr>
              <w:pStyle w:val="Compact"/>
              <w:jc w:val="right"/>
            </w:pPr>
            <w:r>
              <w:t xml:space="preserve">10</w:t>
            </w:r>
          </w:p>
        </w:tc>
        <w:tc>
          <w:tcPr/>
          <w:p>
            <w:pPr>
              <w:pStyle w:val="Compact"/>
              <w:jc w:val="right"/>
            </w:pPr>
            <w:r>
              <w:t xml:space="preserve">9</w:t>
            </w:r>
          </w:p>
        </w:tc>
        <w:tc>
          <w:tcPr/>
          <w:p>
            <w:pPr>
              <w:pStyle w:val="Compact"/>
              <w:jc w:val="right"/>
            </w:pPr>
            <w:r>
              <w:t xml:space="preserve">7</w:t>
            </w:r>
          </w:p>
        </w:tc>
        <w:tc>
          <w:tcPr/>
          <w:p>
            <w:pPr>
              <w:pStyle w:val="Compact"/>
              <w:jc w:val="right"/>
            </w:pPr>
            <w:r>
              <w:t xml:space="preserve">11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r>
      <w:tr>
        <w:tc>
          <w:tcPr/>
          <w:p>
            <w:pPr>
              <w:pStyle w:val="Compact"/>
              <w:jc w:val="left"/>
            </w:pPr>
            <w:r>
              <w:t xml:space="preserve">Cape Alava</w:t>
            </w:r>
          </w:p>
        </w:tc>
        <w:tc>
          <w:tcPr/>
          <w:p>
            <w:pPr>
              <w:pStyle w:val="Compact"/>
              <w:jc w:val="right"/>
            </w:pPr>
            <w:r>
              <w:t xml:space="preserve">12</w:t>
            </w:r>
          </w:p>
        </w:tc>
        <w:tc>
          <w:tcPr/>
          <w:p>
            <w:pPr>
              <w:pStyle w:val="Compact"/>
              <w:jc w:val="right"/>
            </w:pPr>
            <w:r>
              <w:t xml:space="preserve">10</w:t>
            </w:r>
          </w:p>
        </w:tc>
        <w:tc>
          <w:tcPr/>
          <w:p>
            <w:pPr>
              <w:pStyle w:val="Compact"/>
              <w:jc w:val="right"/>
            </w:pPr>
            <w:r>
              <w:t xml:space="preserve">12</w:t>
            </w:r>
          </w:p>
        </w:tc>
        <w:tc>
          <w:tcPr/>
          <w:p>
            <w:pPr>
              <w:pStyle w:val="Compact"/>
              <w:jc w:val="right"/>
            </w:pPr>
            <w:r>
              <w:t xml:space="preserve">16</w:t>
            </w:r>
          </w:p>
        </w:tc>
        <w:tc>
          <w:tcPr/>
          <w:p>
            <w:pPr>
              <w:pStyle w:val="Compact"/>
              <w:jc w:val="right"/>
            </w:pPr>
            <w:r>
              <w:t xml:space="preserve">14</w:t>
            </w:r>
          </w:p>
        </w:tc>
        <w:tc>
          <w:tcPr/>
          <w:p>
            <w:pPr>
              <w:pStyle w:val="Compact"/>
              <w:jc w:val="right"/>
            </w:pPr>
            <w:r>
              <w:t xml:space="preserve">11</w:t>
            </w:r>
          </w:p>
        </w:tc>
        <w:tc>
          <w:tcPr/>
          <w:p>
            <w:pPr>
              <w:pStyle w:val="Compact"/>
              <w:jc w:val="right"/>
            </w:pPr>
            <w:r>
              <w:t xml:space="preserve">16</w:t>
            </w:r>
          </w:p>
        </w:tc>
        <w:tc>
          <w:tcPr/>
          <w:p>
            <w:pPr>
              <w:pStyle w:val="Compact"/>
              <w:jc w:val="right"/>
            </w:pPr>
            <w:r>
              <w:t xml:space="preserve">7</w:t>
            </w:r>
          </w:p>
        </w:tc>
      </w:tr>
      <w:tr>
        <w:tc>
          <w:tcPr/>
          <w:p>
            <w:pPr>
              <w:pStyle w:val="Compact"/>
              <w:jc w:val="left"/>
            </w:pPr>
            <w:r>
              <w:t xml:space="preserve">Tatoosh Island</w:t>
            </w:r>
          </w:p>
        </w:tc>
        <w:tc>
          <w:tcPr/>
          <w:p>
            <w:pPr>
              <w:pStyle w:val="Compact"/>
              <w:jc w:val="right"/>
            </w:pPr>
            <w:r>
              <w:t xml:space="preserve">8</w:t>
            </w:r>
          </w:p>
        </w:tc>
        <w:tc>
          <w:tcPr/>
          <w:p>
            <w:pPr>
              <w:pStyle w:val="Compact"/>
              <w:jc w:val="right"/>
            </w:pPr>
            <w:r>
              <w:t xml:space="preserve">7</w:t>
            </w:r>
          </w:p>
        </w:tc>
        <w:tc>
          <w:tcPr/>
          <w:p>
            <w:pPr>
              <w:pStyle w:val="Compact"/>
              <w:jc w:val="right"/>
            </w:pPr>
            <w:r>
              <w:t xml:space="preserve">15</w:t>
            </w:r>
          </w:p>
        </w:tc>
        <w:tc>
          <w:tcPr/>
          <w:p>
            <w:pPr>
              <w:pStyle w:val="Compact"/>
              <w:jc w:val="right"/>
            </w:pPr>
            <w:r>
              <w:t xml:space="preserve">14</w:t>
            </w:r>
          </w:p>
        </w:tc>
        <w:tc>
          <w:tcPr/>
          <w:p>
            <w:pPr>
              <w:pStyle w:val="Compact"/>
              <w:jc w:val="right"/>
            </w:pPr>
            <w:r>
              <w:t xml:space="preserve">14</w:t>
            </w:r>
          </w:p>
        </w:tc>
        <w:tc>
          <w:tcPr/>
          <w:p>
            <w:pPr>
              <w:pStyle w:val="Compact"/>
              <w:jc w:val="right"/>
            </w:pPr>
            <w:r>
              <w:t xml:space="preserve">14</w:t>
            </w:r>
          </w:p>
        </w:tc>
        <w:tc>
          <w:tcPr/>
          <w:p>
            <w:pPr>
              <w:pStyle w:val="Compact"/>
              <w:jc w:val="right"/>
            </w:pPr>
            <w:r>
              <w:t xml:space="preserve">16</w:t>
            </w:r>
          </w:p>
        </w:tc>
        <w:tc>
          <w:tcPr/>
          <w:p>
            <w:pPr>
              <w:pStyle w:val="Compact"/>
              <w:jc w:val="right"/>
            </w:pPr>
            <w:r>
              <w:t xml:space="preserve">13</w:t>
            </w:r>
          </w:p>
        </w:tc>
      </w:tr>
      <w:tr>
        <w:tc>
          <w:tcPr/>
          <w:p>
            <w:pPr>
              <w:pStyle w:val="Compact"/>
              <w:jc w:val="left"/>
            </w:pPr>
            <w:r>
              <w:t xml:space="preserve">Neah Bay</w:t>
            </w:r>
          </w:p>
        </w:tc>
        <w:tc>
          <w:tcPr/>
          <w:p>
            <w:pPr>
              <w:pStyle w:val="Compact"/>
              <w:jc w:val="right"/>
            </w:pPr>
            <w:r>
              <w:t xml:space="preserve">10</w:t>
            </w:r>
          </w:p>
        </w:tc>
        <w:tc>
          <w:tcPr/>
          <w:p>
            <w:pPr>
              <w:pStyle w:val="Compact"/>
              <w:jc w:val="right"/>
            </w:pPr>
            <w:r>
              <w:t xml:space="preserve">8</w:t>
            </w:r>
          </w:p>
        </w:tc>
        <w:tc>
          <w:tcPr/>
          <w:p>
            <w:pPr>
              <w:pStyle w:val="Compact"/>
              <w:jc w:val="right"/>
            </w:pPr>
            <w:r>
              <w:t xml:space="preserve">12</w:t>
            </w:r>
          </w:p>
        </w:tc>
        <w:tc>
          <w:tcPr/>
          <w:p>
            <w:pPr>
              <w:pStyle w:val="Compact"/>
              <w:jc w:val="right"/>
            </w:pPr>
            <w:r>
              <w:t xml:space="preserve">15</w:t>
            </w:r>
          </w:p>
        </w:tc>
        <w:tc>
          <w:tcPr/>
          <w:p>
            <w:pPr>
              <w:pStyle w:val="Compact"/>
              <w:jc w:val="right"/>
            </w:pPr>
            <w:r>
              <w:t xml:space="preserve">16</w:t>
            </w:r>
          </w:p>
        </w:tc>
        <w:tc>
          <w:tcPr/>
          <w:p>
            <w:pPr>
              <w:pStyle w:val="Compact"/>
              <w:jc w:val="right"/>
            </w:pPr>
            <w:r>
              <w:t xml:space="preserve">13</w:t>
            </w:r>
          </w:p>
        </w:tc>
        <w:tc>
          <w:tcPr/>
          <w:p>
            <w:pPr>
              <w:pStyle w:val="Compact"/>
              <w:jc w:val="right"/>
            </w:pPr>
            <w:r>
              <w:t xml:space="preserve">17</w:t>
            </w:r>
          </w:p>
        </w:tc>
        <w:tc>
          <w:tcPr/>
          <w:p>
            <w:pPr>
              <w:pStyle w:val="Compact"/>
              <w:jc w:val="right"/>
            </w:pPr>
            <w:r>
              <w:t xml:space="preserve">13</w:t>
            </w:r>
          </w:p>
        </w:tc>
      </w:tr>
      <w:tr>
        <w:tc>
          <w:tcPr/>
          <w:p>
            <w:pPr>
              <w:pStyle w:val="Compact"/>
              <w:jc w:val="left"/>
            </w:pPr>
            <w:r>
              <w:t xml:space="preserve">TOTAL</w:t>
            </w:r>
          </w:p>
        </w:tc>
        <w:tc>
          <w:tcPr/>
          <w:p>
            <w:pPr>
              <w:pStyle w:val="Compact"/>
              <w:jc w:val="right"/>
            </w:pPr>
            <w:r>
              <w:t xml:space="preserve">43</w:t>
            </w:r>
          </w:p>
        </w:tc>
        <w:tc>
          <w:tcPr/>
          <w:p>
            <w:pPr>
              <w:pStyle w:val="Compact"/>
              <w:jc w:val="right"/>
            </w:pPr>
            <w:r>
              <w:t xml:space="preserve">37</w:t>
            </w:r>
          </w:p>
        </w:tc>
        <w:tc>
          <w:tcPr/>
          <w:p>
            <w:pPr>
              <w:pStyle w:val="Compact"/>
              <w:jc w:val="right"/>
            </w:pPr>
            <w:r>
              <w:t xml:space="preserve">46</w:t>
            </w:r>
          </w:p>
        </w:tc>
        <w:tc>
          <w:tcPr/>
          <w:p>
            <w:pPr>
              <w:pStyle w:val="Compact"/>
              <w:jc w:val="right"/>
            </w:pPr>
            <w:r>
              <w:t xml:space="preserve">68</w:t>
            </w:r>
          </w:p>
        </w:tc>
        <w:tc>
          <w:tcPr/>
          <w:p>
            <w:pPr>
              <w:pStyle w:val="Compact"/>
              <w:jc w:val="right"/>
            </w:pPr>
            <w:r>
              <w:t xml:space="preserve">67</w:t>
            </w:r>
          </w:p>
        </w:tc>
        <w:tc>
          <w:tcPr/>
          <w:p>
            <w:pPr>
              <w:pStyle w:val="Compact"/>
              <w:jc w:val="right"/>
            </w:pPr>
            <w:r>
              <w:t xml:space="preserve">38</w:t>
            </w:r>
          </w:p>
        </w:tc>
        <w:tc>
          <w:tcPr/>
          <w:p>
            <w:pPr>
              <w:pStyle w:val="Compact"/>
              <w:jc w:val="right"/>
            </w:pPr>
            <w:r>
              <w:t xml:space="preserve">76</w:t>
            </w:r>
          </w:p>
        </w:tc>
        <w:tc>
          <w:tcPr/>
          <w:p>
            <w:pPr>
              <w:pStyle w:val="Compact"/>
              <w:jc w:val="right"/>
            </w:pPr>
            <w:r>
              <w:t xml:space="preserve">36</w:t>
            </w:r>
          </w:p>
        </w:tc>
      </w:tr>
    </w:tbl>
    <w:bookmarkEnd w:id="25"/>
    <w:bookmarkStart w:id="30" w:name="X34a908d635704a312b3fe5eafa79b0a820e7eb5"/>
    <w:p>
      <w:pPr>
        <w:pStyle w:val="Heading2"/>
      </w:pPr>
      <w:r>
        <w:t xml:space="preserve">Recruitment: Young-of-year abundance trends</w:t>
      </w:r>
    </w:p>
    <w:p>
      <w:pPr>
        <w:pStyle w:val="FirstParagraph"/>
      </w:pPr>
      <w:r>
        <w:t xml:space="preserve">To calculate the average density of black/yellowtail rockfish complex in each year, we first calculate the mean density and standard error per site in each year. This approach means we are treating each transect as a i.i.d. sample of YOY density within each site and thus we ignore differences in abundance by depth zone.</w:t>
      </w:r>
    </w:p>
    <w:p>
      <w:pPr>
        <w:pStyle w:val="BodyText"/>
      </w:pPr>
      <w:r>
        <w:t xml:space="preserve">From these site-year level means, we calculated a year-specific mean density by simulation. Specifically, for each year we independently drew a mean density for each site using a t-distribution with</w:t>
      </w:r>
      <w:r>
        <w:t xml:space="preserve"> </w:t>
      </w:r>
      <m:oMath>
        <m:r>
          <m:t>μ</m:t>
        </m:r>
      </m:oMath>
      <w:r>
        <w:t xml:space="preserve"> </w:t>
      </w:r>
      <w:r>
        <w:t xml:space="preserve">(the estimated site mean),</w:t>
      </w:r>
      <w:r>
        <w:t xml:space="preserve"> </w:t>
      </w:r>
      <m:oMath>
        <m:r>
          <m:t>σ</m:t>
        </m:r>
      </m:oMath>
      <w:r>
        <w:t xml:space="preserve"> </w:t>
      </w:r>
      <w:r>
        <w:t xml:space="preserve">(the estimated site-specific standard error) and degrees of freedom,</w:t>
      </w:r>
      <w:r>
        <w:t xml:space="preserve"> </w:t>
      </w:r>
      <m:oMath>
        <m:r>
          <m:t>τ</m:t>
        </m:r>
      </m:oMath>
      <w:r>
        <w:t xml:space="preserve">. So for the</w:t>
      </w:r>
      <w:r>
        <w:t xml:space="preserve"> </w:t>
      </w:r>
      <m:oMath>
        <m:sSup>
          <m:e>
            <m:r>
              <m:t>i</m:t>
            </m:r>
          </m:e>
          <m:sup>
            <m:r>
              <m:t>t</m:t>
            </m:r>
            <m:r>
              <m:t>h</m:t>
            </m:r>
          </m:sup>
        </m:sSup>
      </m:oMath>
      <w:r>
        <w:t xml:space="preserve"> </w:t>
      </w:r>
      <w:r>
        <w:t xml:space="preserve">realization, for site</w:t>
      </w:r>
      <w:r>
        <w:t xml:space="preserve"> </w:t>
      </w:r>
      <m:oMath>
        <m:r>
          <m:t>s</m:t>
        </m:r>
      </m:oMath>
      <w:r>
        <w:t xml:space="preserve"> </w:t>
      </w:r>
      <w:r>
        <w:t xml:space="preserve">in year</w:t>
      </w:r>
      <w:r>
        <w:t xml:space="preserve"> </w:t>
      </w:r>
      <m:oMath>
        <m:r>
          <m:t>y</m:t>
        </m:r>
      </m:oMath>
      <w:r>
        <w:t xml:space="preserve"> </w:t>
      </w:r>
      <w:r>
        <w:t xml:space="preserve">we have a predicted density,</w:t>
      </w:r>
      <w:r>
        <w:t xml:space="preserve"> </w:t>
      </w:r>
      <m:oMath>
        <m:sSub>
          <m:e>
            <m:r>
              <m:t>X</m:t>
            </m:r>
          </m:e>
          <m:sub>
            <m:r>
              <m:t>i</m:t>
            </m:r>
            <m:r>
              <m:t>s</m:t>
            </m:r>
            <m:r>
              <m:t>y</m:t>
            </m:r>
          </m:sub>
        </m:sSub>
      </m:oMath>
    </w:p>
    <w:p>
      <w:pPr>
        <w:pStyle w:val="BodyText"/>
      </w:pPr>
      <w:r>
        <w:t xml:space="preserve">and then the predicted density for a single realization in a given year is the mean among sites observed. We repeat the simulation 100,000 times to provide an estimated mean density and uncertainty for a given year (</w:t>
      </w:r>
      <w:hyperlink w:anchor="fig-yoy-ts">
        <w:r>
          <w:rPr>
            <w:rStyle w:val="Hyperlink"/>
          </w:rPr>
          <w:t xml:space="preserve">Fig. 2</w:t>
        </w:r>
      </w:hyperlink>
      <w:r>
        <w:t xml:space="preserve">).</w:t>
      </w:r>
    </w:p>
    <w:p>
      <w:pPr>
        <w:pStyle w:val="BodyText"/>
      </w:pPr>
      <w:r>
        <w:t xml:space="preserve">Nearly all small rockfish fall into the 4 to 7 cm length range and all are considered to have recruited from the plankton during the calender year of the survey. Therefore, we view the density of &lt;10cm rockfish to be an indicator of recruitment for the black/yellowtail rockfish complex (</w:t>
      </w:r>
      <w:hyperlink w:anchor="fig-yoy-ts">
        <w:r>
          <w:rPr>
            <w:rStyle w:val="Hyperlink"/>
          </w:rPr>
          <w:t xml:space="preserve">Fig. 2</w:t>
        </w:r>
      </w:hyperlink>
      <w:r>
        <w:t xml:space="preserve">).</w:t>
      </w:r>
    </w:p>
    <w:tbl>
      <w:tblPr>
        <w:tblStyle w:val="Table"/>
        <w:tblW w:type="pct" w:w="5000"/>
        <w:tblLook w:firstRow="0" w:lastRow="0" w:firstColumn="0" w:lastColumn="0" w:noHBand="0" w:noVBand="0" w:val="0000"/>
        <w:jc w:val="start"/>
      </w:tblPr>
      <w:tblGrid>
        <w:gridCol w:w="7920"/>
      </w:tblGrid>
      <w:tr>
        <w:tc>
          <w:tcPr/>
          <w:bookmarkStart w:id="29" w:name="fig-yoy-ts"/>
          <w:p>
            <w:pPr>
              <w:jc w:val="center"/>
            </w:pPr>
            <w:r>
              <w:drawing>
                <wp:inline>
                  <wp:extent cx="4620126" cy="3696101"/>
                  <wp:effectExtent b="0" l="0" r="0" t="0"/>
                  <wp:docPr descr="" title="" id="27" name="Picture"/>
                  <a:graphic>
                    <a:graphicData uri="http://schemas.openxmlformats.org/drawingml/2006/picture">
                      <pic:pic>
                        <pic:nvPicPr>
                          <pic:cNvPr descr="_01_OCNMS-rockfish-YOY-analysis_files/figure-docx/fig-yoy-t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Time-series of estimated young-of-year rockfish (black-yellowtail complex) density on the Washington coast. Black points show means and standard errors for individual sites. Blue points show coastwide density estimates, interquartile range and 95% intervals for each year. Note y-axis is square root.</w:t>
            </w:r>
          </w:p>
          <w:bookmarkEnd w:id="29"/>
        </w:tc>
      </w:tr>
    </w:tbl>
    <w:p>
      <w:r>
        <w:br w:type="page"/>
      </w:r>
    </w:p>
    <w:bookmarkEnd w:id="30"/>
    <w:bookmarkStart w:id="36" w:name="references"/>
    <w:p>
      <w:pPr>
        <w:pStyle w:val="Heading2"/>
      </w:pPr>
      <w:r>
        <w:t xml:space="preserve">References</w:t>
      </w:r>
    </w:p>
    <w:bookmarkStart w:id="35" w:name="refs"/>
    <w:bookmarkStart w:id="31" w:name="ref-johansson2018seasonal"/>
    <w:p>
      <w:pPr>
        <w:pStyle w:val="Bibliography"/>
      </w:pPr>
      <w:r>
        <w:t xml:space="preserve">Johansson, Mattias L, Marisa NC Litz, Richard D Brodeur, Tristan A Britt, Camilo A Vanegas, John R Hyde, and Michael A Banks. 2018.</w:t>
      </w:r>
      <w:r>
        <w:t xml:space="preserve"> </w:t>
      </w:r>
      <w:r>
        <w:t xml:space="preserve">“</w:t>
      </w:r>
      <w:r>
        <w:t xml:space="preserve">Seasonal distribution of late larval and juvenile rockfish (</w:t>
      </w:r>
      <w:r>
        <w:rPr>
          <w:iCs/>
          <w:i/>
        </w:rPr>
        <w:t xml:space="preserve">Sebastes</w:t>
      </w:r>
      <w:r>
        <w:t xml:space="preserve"> </w:t>
      </w:r>
      <w:r>
        <w:t xml:space="preserve">spp.) and associated environmental conditions off Oregon and Washington: new insights based on genetics</w:t>
      </w:r>
      <w:r>
        <w:t xml:space="preserve">.”</w:t>
      </w:r>
      <w:r>
        <w:t xml:space="preserve"> </w:t>
      </w:r>
      <w:r>
        <w:rPr>
          <w:iCs/>
          <w:i/>
        </w:rPr>
        <w:t xml:space="preserve">Fishery Bulletin</w:t>
      </w:r>
      <w:r>
        <w:t xml:space="preserve">, no. 3-4: 266–91.</w:t>
      </w:r>
    </w:p>
    <w:bookmarkEnd w:id="31"/>
    <w:bookmarkStart w:id="32" w:name="ref-malone2022large"/>
    <w:p>
      <w:pPr>
        <w:pStyle w:val="Bibliography"/>
      </w:pPr>
      <w:r>
        <w:t xml:space="preserve">Malone, Daniel P, Kathryn Davis, Steve I Lonhart, Avrey Parsons-Field, Jennifer E Caselle, and Mark H Carr. 2022.</w:t>
      </w:r>
      <w:r>
        <w:t xml:space="preserve"> </w:t>
      </w:r>
      <w:r>
        <w:t xml:space="preserve">“</w:t>
      </w:r>
      <w:r>
        <w:t xml:space="preserve">Large-scale, multidecade monitoring data from kelp forest ecosystems in California and Oregon (USA)</w:t>
      </w:r>
      <w:r>
        <w:t xml:space="preserve">.”</w:t>
      </w:r>
      <w:r>
        <w:t xml:space="preserve"> </w:t>
      </w:r>
      <w:r>
        <w:t xml:space="preserve">Wiley Online Library.</w:t>
      </w:r>
    </w:p>
    <w:bookmarkEnd w:id="32"/>
    <w:bookmarkStart w:id="33" w:name="ref-markel2020contrasting"/>
    <w:p>
      <w:pPr>
        <w:pStyle w:val="Bibliography"/>
      </w:pPr>
      <w:r>
        <w:t xml:space="preserve">Markel, Russell W, and Jonathan B Shurin. 2020.</w:t>
      </w:r>
      <w:r>
        <w:t xml:space="preserve"> </w:t>
      </w:r>
      <w:r>
        <w:t xml:space="preserve">“</w:t>
      </w:r>
      <w:r>
        <w:t xml:space="preserve">Contrasting effects of coastal upwelling on growth and recruitment of nearshore Pacific rockfishes (genus</w:t>
      </w:r>
      <w:r>
        <w:t xml:space="preserve"> </w:t>
      </w:r>
      <w:r>
        <w:rPr>
          <w:iCs/>
          <w:i/>
        </w:rPr>
        <w:t xml:space="preserve">Sebastes</w:t>
      </w:r>
      <w:r>
        <w:t xml:space="preserve">)</w:t>
      </w:r>
      <w:r>
        <w:t xml:space="preserve">.”</w:t>
      </w:r>
      <w:r>
        <w:t xml:space="preserve"> </w:t>
      </w:r>
      <w:r>
        <w:rPr>
          <w:iCs/>
          <w:i/>
        </w:rPr>
        <w:t xml:space="preserve">Canadian Journal of Fisheries and Aquatic Sciences</w:t>
      </w:r>
      <w:r>
        <w:t xml:space="preserve"> </w:t>
      </w:r>
      <w:r>
        <w:t xml:space="preserve">77 (6): 950–62.</w:t>
      </w:r>
    </w:p>
    <w:bookmarkEnd w:id="33"/>
    <w:bookmarkStart w:id="34" w:name="ref-tolimieri2023changes"/>
    <w:p>
      <w:pPr>
        <w:pStyle w:val="Bibliography"/>
      </w:pPr>
      <w:r>
        <w:t xml:space="preserve">Tolimieri, Nick, Andrew O Shelton, Jameal F Samhouri, Chris J Harvey, Blake E Feist, Gregory D Williams, Kelly S Andrews, et al. 2023.</w:t>
      </w:r>
      <w:r>
        <w:t xml:space="preserve"> </w:t>
      </w:r>
      <w:r>
        <w:t xml:space="preserve">“</w:t>
      </w:r>
      <w:r>
        <w:t xml:space="preserve">Changes in kelp forest communities off Washington, USA, during and after the 2014-2016 marine heatwave and sea star wasting syndrome</w:t>
      </w:r>
      <w:r>
        <w:t xml:space="preserve">.”</w:t>
      </w:r>
      <w:r>
        <w:t xml:space="preserve"> </w:t>
      </w:r>
      <w:r>
        <w:rPr>
          <w:iCs/>
          <w:i/>
        </w:rPr>
        <w:t xml:space="preserve">Marine Ecology Progress Series</w:t>
      </w:r>
      <w:r>
        <w:t xml:space="preserve"> </w:t>
      </w:r>
      <w:r>
        <w:t xml:space="preserve">703: 47–66.</w:t>
      </w:r>
    </w:p>
    <w:bookmarkEnd w:id="34"/>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YOY analysis: Black and yellowtail rockfish complex</dc:title>
  <dc:creator>Nick Tolimieri &amp; Ole Shelton</dc:creator>
  <cp:keywords/>
  <dcterms:created xsi:type="dcterms:W3CDTF">2025-02-05T00:28:26Z</dcterms:created>
  <dcterms:modified xsi:type="dcterms:W3CDTF">2025-02-05T00:28:26Z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2025-02-04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