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1A2A4A"/>
          </w:tcPr>
          <w:p/>
          <w:p/>
          <w:p/>
          <w:p>
            <w:pPr>
              <w:jc w:val="center"/>
            </w:pPr>
            <w:r>
              <w:rPr>
                <w:b/>
                <w:i w:val="0"/>
                <w:color w:val="FFFFFF"/>
                <w:sz w:val="56"/>
              </w:rPr>
              <w:t>SUBDIVISION ANALYSIS</w:t>
            </w:r>
          </w:p>
          <w:p>
            <w:pPr>
              <w:jc w:val="center"/>
            </w:pPr>
            <w:r>
              <w:rPr>
                <w:b w:val="0"/>
                <w:i w:val="0"/>
                <w:color w:val="AAC4EA"/>
                <w:sz w:val="28"/>
              </w:rPr>
              <w:t>RealtyRates.com Free Survey Data</w:t>
            </w:r>
          </w:p>
          <w:p/>
          <w:p>
            <w:pPr>
              <w:jc w:val="center"/>
            </w:pPr>
            <w:r>
              <w:rPr>
                <w:b w:val="0"/>
                <w:i w:val="0"/>
                <w:color w:val="88AACC"/>
                <w:sz w:val="20"/>
              </w:rPr>
              <w:t>Survey Period: Q4 2025  ·  Updated: January 15, 2026</w:t>
            </w:r>
          </w:p>
          <w:p/>
          <w:p/>
        </w:tc>
      </w:tr>
    </w:tbl>
    <w:p>
      <w:pPr>
        <w:spacing w:after="240"/>
      </w:pPr>
    </w:p>
    <w:p>
      <w:pPr>
        <w:jc w:val="center"/>
      </w:pPr>
      <w:r>
        <w:rPr>
          <w:b w:val="0"/>
          <w:i/>
          <w:color w:val="888888"/>
          <w:sz w:val="17"/>
        </w:rPr>
        <w:t>Source: realtyrates.com  ·  For informational purposes only</w:t>
      </w:r>
    </w:p>
    <w:p>
      <w:r>
        <w:br w:type="page"/>
      </w:r>
    </w:p>
    <w:p>
      <w:pPr>
        <w:pStyle w:val="Heading1"/>
        <w:spacing w:after="120"/>
      </w:pPr>
      <w:r>
        <w:rPr>
          <w:color w:val="1A2A4A"/>
        </w:rPr>
        <w:t>Executive Summary</w:t>
      </w:r>
    </w:p>
    <w:p>
      <w:pPr>
        <w:spacing w:before="40" w:after="120"/>
        <w:pBdr>
          <w:bottom w:val="single" w:sz="6" w:space="1" w:color="2E6DBF"/>
        </w:pBdr>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6E4F7"/>
          </w:tcPr>
          <w:p>
            <w:pPr>
              <w:jc w:val="center"/>
            </w:pPr>
            <w:r>
              <w:rPr>
                <w:b/>
                <w:i w:val="0"/>
                <w:color w:val="2E6DBF"/>
                <w:sz w:val="16"/>
              </w:rPr>
              <w:t>LAND LOAN RATE</w:t>
            </w:r>
          </w:p>
        </w:tc>
        <w:tc>
          <w:tcPr>
            <w:tcW w:type="dxa" w:w="2340"/>
            <w:shd w:val="clear" w:color="auto" w:fill="D6E4F7"/>
          </w:tcPr>
          <w:p>
            <w:pPr>
              <w:jc w:val="center"/>
            </w:pPr>
            <w:r>
              <w:rPr>
                <w:b/>
                <w:i w:val="0"/>
                <w:color w:val="2E6DBF"/>
                <w:sz w:val="16"/>
              </w:rPr>
              <w:t>MAX LTV (LAND)</w:t>
            </w:r>
          </w:p>
        </w:tc>
        <w:tc>
          <w:tcPr>
            <w:tcW w:type="dxa" w:w="2340"/>
            <w:shd w:val="clear" w:color="auto" w:fill="D6E4F7"/>
          </w:tcPr>
          <w:p>
            <w:pPr>
              <w:jc w:val="center"/>
            </w:pPr>
            <w:r>
              <w:rPr>
                <w:b/>
                <w:i w:val="0"/>
                <w:color w:val="2E6DBF"/>
                <w:sz w:val="16"/>
              </w:rPr>
              <w:t>ABSORPTION RATE</w:t>
            </w:r>
          </w:p>
        </w:tc>
        <w:tc>
          <w:tcPr>
            <w:tcW w:type="dxa" w:w="2340"/>
            <w:shd w:val="clear" w:color="auto" w:fill="D6E4F7"/>
          </w:tcPr>
          <w:p>
            <w:pPr>
              <w:jc w:val="center"/>
            </w:pPr>
            <w:r>
              <w:rPr>
                <w:b/>
                <w:i w:val="0"/>
                <w:color w:val="2E6DBF"/>
                <w:sz w:val="16"/>
              </w:rPr>
              <w:t>10-YR TREASURY</w:t>
            </w:r>
          </w:p>
        </w:tc>
      </w:tr>
      <w:tr>
        <w:tc>
          <w:tcPr>
            <w:tcW w:type="dxa" w:w="2340"/>
            <w:shd w:val="clear" w:color="auto" w:fill="FFFFFF"/>
          </w:tcPr>
          <w:p>
            <w:pPr>
              <w:jc w:val="center"/>
            </w:pPr>
            <w:r>
              <w:rPr>
                <w:b/>
                <w:i w:val="0"/>
                <w:color w:val="1A2A4A"/>
                <w:sz w:val="32"/>
              </w:rPr>
              <w:t>7.50 – 9.50%</w:t>
            </w:r>
          </w:p>
        </w:tc>
        <w:tc>
          <w:tcPr>
            <w:tcW w:type="dxa" w:w="2340"/>
            <w:shd w:val="clear" w:color="auto" w:fill="FFFFFF"/>
          </w:tcPr>
          <w:p>
            <w:pPr>
              <w:jc w:val="center"/>
            </w:pPr>
            <w:r>
              <w:rPr>
                <w:b/>
                <w:i w:val="0"/>
                <w:color w:val="1A2A4A"/>
                <w:sz w:val="32"/>
              </w:rPr>
              <w:t>50.00 – 65.00%</w:t>
            </w:r>
          </w:p>
        </w:tc>
        <w:tc>
          <w:tcPr>
            <w:tcW w:type="dxa" w:w="2340"/>
            <w:shd w:val="clear" w:color="auto" w:fill="FFFFFF"/>
          </w:tcPr>
          <w:p>
            <w:pPr>
              <w:jc w:val="center"/>
            </w:pPr>
            <w:r>
              <w:rPr>
                <w:b/>
                <w:i w:val="0"/>
                <w:color w:val="1A2A4A"/>
                <w:sz w:val="32"/>
              </w:rPr>
              <w:t>12.0 lots/mo</w:t>
            </w:r>
          </w:p>
        </w:tc>
        <w:tc>
          <w:tcPr>
            <w:tcW w:type="dxa" w:w="2340"/>
            <w:shd w:val="clear" w:color="auto" w:fill="FFFFFF"/>
          </w:tcPr>
          <w:p>
            <w:pPr>
              <w:jc w:val="center"/>
            </w:pPr>
            <w:r>
              <w:rPr>
                <w:b/>
                <w:i w:val="0"/>
                <w:color w:val="1A2A4A"/>
                <w:sz w:val="32"/>
              </w:rPr>
              <w:t>4.32%</w:t>
            </w:r>
          </w:p>
        </w:tc>
      </w:tr>
      <w:tr>
        <w:tc>
          <w:tcPr>
            <w:tcW w:type="dxa" w:w="2340"/>
            <w:shd w:val="clear" w:color="auto" w:fill="F2F4F8"/>
          </w:tcPr>
          <w:p>
            <w:pPr>
              <w:jc w:val="center"/>
            </w:pPr>
            <w:r>
              <w:rPr>
                <w:b w:val="0"/>
                <w:i/>
                <w:color w:val="444444"/>
                <w:sz w:val="16"/>
              </w:rPr>
              <w:t>Avg 8.50%</w:t>
            </w:r>
          </w:p>
        </w:tc>
        <w:tc>
          <w:tcPr>
            <w:tcW w:type="dxa" w:w="2340"/>
            <w:shd w:val="clear" w:color="auto" w:fill="F2F4F8"/>
          </w:tcPr>
          <w:p>
            <w:pPr>
              <w:jc w:val="center"/>
            </w:pPr>
            <w:r>
              <w:rPr>
                <w:b w:val="0"/>
                <w:i/>
                <w:color w:val="444444"/>
                <w:sz w:val="16"/>
              </w:rPr>
              <w:t>Avg 57.50%</w:t>
            </w:r>
          </w:p>
        </w:tc>
        <w:tc>
          <w:tcPr>
            <w:tcW w:type="dxa" w:w="2340"/>
            <w:shd w:val="clear" w:color="auto" w:fill="F2F4F8"/>
          </w:tcPr>
          <w:p>
            <w:pPr>
              <w:jc w:val="center"/>
            </w:pPr>
            <w:r>
              <w:rPr>
                <w:b w:val="0"/>
                <w:i/>
                <w:color w:val="444444"/>
                <w:sz w:val="16"/>
              </w:rPr>
              <w:t>Range 6.0–18.0</w:t>
            </w:r>
          </w:p>
        </w:tc>
        <w:tc>
          <w:tcPr>
            <w:tcW w:type="dxa" w:w="2340"/>
            <w:shd w:val="clear" w:color="auto" w:fill="F2F4F8"/>
          </w:tcPr>
          <w:p>
            <w:pPr>
              <w:jc w:val="center"/>
            </w:pPr>
            <w:r>
              <w:rPr>
                <w:b w:val="0"/>
                <w:i/>
                <w:color w:val="444444"/>
                <w:sz w:val="16"/>
              </w:rPr>
              <w:t>Benchmark rate</w:t>
            </w:r>
          </w:p>
        </w:tc>
      </w:tr>
    </w:tbl>
    <w:p>
      <w:pPr>
        <w:spacing w:after="120"/>
      </w:pPr>
    </w:p>
    <w:p>
      <w:pPr>
        <w:spacing w:after="120"/>
      </w:pPr>
      <w:r>
        <w:rPr>
          <w:b w:val="0"/>
          <w:i w:val="0"/>
          <w:color w:val="444444"/>
          <w:sz w:val="20"/>
        </w:rPr>
        <w:t>This report summarises free survey data published by RealtyRates.com covering commercial mortgage cap rates, developer financing terms for subdivisions and planned unit developments (PUDs), and key financial benchmark indices. Data is refreshed quarterly.</w:t>
      </w:r>
    </w:p>
    <w:p>
      <w:pPr>
        <w:pStyle w:val="ListBullet"/>
      </w:pPr>
      <w:r>
        <w:rPr>
          <w:b/>
          <w:i w:val="0"/>
          <w:color w:val="444444"/>
          <w:sz w:val="20"/>
        </w:rPr>
        <w:t xml:space="preserve">Survey period: </w:t>
      </w:r>
      <w:r>
        <w:rPr>
          <w:b w:val="0"/>
          <w:i w:val="0"/>
          <w:color w:val="444444"/>
          <w:sz w:val="20"/>
        </w:rPr>
        <w:t>Q4 2025</w:t>
      </w:r>
    </w:p>
    <w:p>
      <w:pPr>
        <w:pStyle w:val="ListBullet"/>
      </w:pPr>
      <w:r>
        <w:rPr>
          <w:b/>
          <w:i w:val="0"/>
          <w:color w:val="444444"/>
          <w:sz w:val="20"/>
        </w:rPr>
        <w:t xml:space="preserve">Commercial cap rate range: </w:t>
      </w:r>
      <w:r>
        <w:rPr>
          <w:b w:val="0"/>
          <w:i w:val="0"/>
          <w:color w:val="444444"/>
          <w:sz w:val="20"/>
        </w:rPr>
        <w:t>5.00% – 9.25% across 15 property types</w:t>
      </w:r>
    </w:p>
    <w:p>
      <w:pPr>
        <w:pStyle w:val="ListBullet"/>
      </w:pPr>
      <w:r>
        <w:rPr>
          <w:b/>
          <w:i w:val="0"/>
          <w:color w:val="444444"/>
          <w:sz w:val="20"/>
        </w:rPr>
        <w:t xml:space="preserve">Commercial interest rate range: </w:t>
      </w:r>
      <w:r>
        <w:rPr>
          <w:b w:val="0"/>
          <w:i w:val="0"/>
          <w:color w:val="444444"/>
          <w:sz w:val="20"/>
        </w:rPr>
        <w:t>6.38% – 8.50% (avg, by property type)</w:t>
      </w:r>
    </w:p>
    <w:p>
      <w:pPr>
        <w:pStyle w:val="ListBullet"/>
      </w:pPr>
      <w:r>
        <w:rPr>
          <w:b/>
          <w:i w:val="0"/>
          <w:color w:val="444444"/>
          <w:sz w:val="20"/>
        </w:rPr>
        <w:t xml:space="preserve">Subdivision land loan spread over 10-Yr Treasury: </w:t>
      </w:r>
      <w:r>
        <w:rPr>
          <w:b w:val="0"/>
          <w:i w:val="0"/>
          <w:color w:val="444444"/>
          <w:sz w:val="20"/>
        </w:rPr>
        <w:t>4.18% (development risk premium)</w:t>
      </w:r>
    </w:p>
    <w:p>
      <w:pPr>
        <w:spacing w:after="80"/>
      </w:pPr>
    </w:p>
    <w:p>
      <w:r>
        <w:br w:type="page"/>
      </w:r>
    </w:p>
    <w:p>
      <w:pPr>
        <w:pStyle w:val="Heading1"/>
        <w:spacing w:after="120"/>
      </w:pPr>
      <w:r>
        <w:rPr>
          <w:color w:val="1A2A4A"/>
        </w:rPr>
        <w:t>Commercial Cap Rates &amp; Mortgage Rates</w:t>
      </w:r>
    </w:p>
    <w:p>
      <w:pPr>
        <w:spacing w:before="40" w:after="120"/>
        <w:pBdr>
          <w:bottom w:val="single" w:sz="6" w:space="1" w:color="2E6DBF"/>
        </w:pBdr>
      </w:pPr>
    </w:p>
    <w:p>
      <w:pPr>
        <w:spacing w:after="160"/>
      </w:pPr>
      <w:r>
        <w:rPr>
          <w:b w:val="0"/>
          <w:i/>
          <w:color w:val="777777"/>
          <w:sz w:val="17"/>
        </w:rPr>
        <w:t>Source: RealtyRates.com Commercial Mortgage Rate Survey  ·  Q4 2025</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3024"/>
            <w:shd w:val="clear" w:color="auto" w:fill="2E6DBF"/>
          </w:tcPr>
          <w:p>
            <w:pPr>
              <w:jc w:val="left"/>
            </w:pPr>
            <w:r>
              <w:rPr>
                <w:b/>
                <w:i w:val="0"/>
                <w:color w:val="FFFFFF"/>
                <w:sz w:val="17"/>
              </w:rPr>
              <w:t>Property Type</w:t>
            </w:r>
          </w:p>
        </w:tc>
        <w:tc>
          <w:tcPr>
            <w:tcW w:type="dxa" w:w="1584"/>
            <w:shd w:val="clear" w:color="auto" w:fill="2E6DBF"/>
          </w:tcPr>
          <w:p>
            <w:pPr>
              <w:jc w:val="center"/>
            </w:pPr>
            <w:r>
              <w:rPr>
                <w:b/>
                <w:i w:val="0"/>
                <w:color w:val="FFFFFF"/>
                <w:sz w:val="17"/>
              </w:rPr>
              <w:t>Cap Rate Range</w:t>
            </w:r>
          </w:p>
        </w:tc>
        <w:tc>
          <w:tcPr>
            <w:tcW w:type="dxa" w:w="1008"/>
            <w:shd w:val="clear" w:color="auto" w:fill="2E6DBF"/>
          </w:tcPr>
          <w:p>
            <w:pPr>
              <w:jc w:val="center"/>
            </w:pPr>
            <w:r>
              <w:rPr>
                <w:b/>
                <w:i w:val="0"/>
                <w:color w:val="FFFFFF"/>
                <w:sz w:val="17"/>
              </w:rPr>
              <w:t>Cap Avg</w:t>
            </w:r>
          </w:p>
        </w:tc>
        <w:tc>
          <w:tcPr>
            <w:tcW w:type="dxa" w:w="1584"/>
            <w:shd w:val="clear" w:color="auto" w:fill="2E6DBF"/>
          </w:tcPr>
          <w:p>
            <w:pPr>
              <w:jc w:val="center"/>
            </w:pPr>
            <w:r>
              <w:rPr>
                <w:b/>
                <w:i w:val="0"/>
                <w:color w:val="FFFFFF"/>
                <w:sz w:val="17"/>
              </w:rPr>
              <w:t>Interest Rate Range</w:t>
            </w:r>
          </w:p>
        </w:tc>
        <w:tc>
          <w:tcPr>
            <w:tcW w:type="dxa" w:w="1008"/>
            <w:shd w:val="clear" w:color="auto" w:fill="2E6DBF"/>
          </w:tcPr>
          <w:p>
            <w:pPr>
              <w:jc w:val="center"/>
            </w:pPr>
            <w:r>
              <w:rPr>
                <w:b/>
                <w:i w:val="0"/>
                <w:color w:val="FFFFFF"/>
                <w:sz w:val="17"/>
              </w:rPr>
              <w:t>Rate Avg</w:t>
            </w:r>
          </w:p>
        </w:tc>
        <w:tc>
          <w:tcPr>
            <w:tcW w:type="dxa" w:w="864"/>
            <w:shd w:val="clear" w:color="auto" w:fill="2E6DBF"/>
          </w:tcPr>
          <w:p>
            <w:pPr>
              <w:jc w:val="center"/>
            </w:pPr>
            <w:r>
              <w:rPr>
                <w:b/>
                <w:i w:val="0"/>
                <w:color w:val="FFFFFF"/>
                <w:sz w:val="17"/>
              </w:rPr>
              <w:t>Max LTV</w:t>
            </w:r>
          </w:p>
        </w:tc>
        <w:tc>
          <w:tcPr>
            <w:tcW w:type="dxa" w:w="864"/>
            <w:shd w:val="clear" w:color="auto" w:fill="2E6DBF"/>
          </w:tcPr>
          <w:p>
            <w:pPr>
              <w:jc w:val="center"/>
            </w:pPr>
            <w:r>
              <w:rPr>
                <w:b/>
                <w:i w:val="0"/>
                <w:color w:val="FFFFFF"/>
                <w:sz w:val="17"/>
              </w:rPr>
              <w:t>Amort.</w:t>
            </w:r>
          </w:p>
        </w:tc>
      </w:tr>
      <w:tr>
        <w:tc>
          <w:tcPr>
            <w:tcW w:type="dxa" w:w="3024"/>
          </w:tcPr>
          <w:p>
            <w:pPr>
              <w:jc w:val="left"/>
            </w:pPr>
            <w:r>
              <w:rPr>
                <w:b w:val="0"/>
                <w:i w:val="0"/>
                <w:color w:val="444444"/>
                <w:sz w:val="17"/>
              </w:rPr>
              <w:t>Apartments - Garden/Low Rise</w:t>
            </w:r>
          </w:p>
        </w:tc>
        <w:tc>
          <w:tcPr>
            <w:tcW w:type="dxa" w:w="1584"/>
          </w:tcPr>
          <w:p>
            <w:pPr>
              <w:jc w:val="center"/>
            </w:pPr>
            <w:r>
              <w:rPr>
                <w:b w:val="0"/>
                <w:i w:val="0"/>
                <w:color w:val="444444"/>
                <w:sz w:val="17"/>
              </w:rPr>
              <w:t>4.75 – 5.75%</w:t>
            </w:r>
          </w:p>
        </w:tc>
        <w:tc>
          <w:tcPr>
            <w:tcW w:type="dxa" w:w="1008"/>
          </w:tcPr>
          <w:p>
            <w:pPr>
              <w:jc w:val="center"/>
            </w:pPr>
            <w:r>
              <w:rPr>
                <w:b/>
                <w:i w:val="0"/>
                <w:color w:val="1E7E52"/>
                <w:sz w:val="17"/>
              </w:rPr>
              <w:t>5.25%</w:t>
            </w:r>
          </w:p>
        </w:tc>
        <w:tc>
          <w:tcPr>
            <w:tcW w:type="dxa" w:w="1584"/>
          </w:tcPr>
          <w:p>
            <w:pPr>
              <w:jc w:val="center"/>
            </w:pPr>
            <w:r>
              <w:rPr>
                <w:b w:val="0"/>
                <w:i w:val="0"/>
                <w:color w:val="444444"/>
                <w:sz w:val="17"/>
              </w:rPr>
              <w:t>6.25 – 7.00%</w:t>
            </w:r>
          </w:p>
        </w:tc>
        <w:tc>
          <w:tcPr>
            <w:tcW w:type="dxa" w:w="1008"/>
          </w:tcPr>
          <w:p>
            <w:pPr>
              <w:jc w:val="center"/>
            </w:pPr>
            <w:r>
              <w:rPr>
                <w:b/>
                <w:i w:val="0"/>
                <w:color w:val="C05020"/>
                <w:sz w:val="17"/>
              </w:rPr>
              <w:t>6.62%</w:t>
            </w:r>
          </w:p>
        </w:tc>
        <w:tc>
          <w:tcPr>
            <w:tcW w:type="dxa" w:w="864"/>
          </w:tcPr>
          <w:p>
            <w:pPr>
              <w:jc w:val="center"/>
            </w:pPr>
            <w:r>
              <w:rPr>
                <w:b w:val="0"/>
                <w:i w:val="0"/>
                <w:color w:val="444444"/>
                <w:sz w:val="17"/>
              </w:rPr>
              <w:t>70%</w:t>
            </w:r>
          </w:p>
        </w:tc>
        <w:tc>
          <w:tcPr>
            <w:tcW w:type="dxa" w:w="864"/>
          </w:tcPr>
          <w:p>
            <w:pPr>
              <w:jc w:val="center"/>
            </w:pPr>
            <w:r>
              <w:rPr>
                <w:b w:val="0"/>
                <w:i w:val="0"/>
                <w:color w:val="444444"/>
                <w:sz w:val="17"/>
              </w:rPr>
              <w:t>30 yr</w:t>
            </w:r>
          </w:p>
        </w:tc>
      </w:tr>
      <w:tr>
        <w:tc>
          <w:tcPr>
            <w:tcW w:type="dxa" w:w="3024"/>
            <w:shd w:val="clear" w:color="auto" w:fill="F2F4F8"/>
          </w:tcPr>
          <w:p>
            <w:pPr>
              <w:jc w:val="left"/>
            </w:pPr>
            <w:r>
              <w:rPr>
                <w:b w:val="0"/>
                <w:i w:val="0"/>
                <w:color w:val="444444"/>
                <w:sz w:val="17"/>
              </w:rPr>
              <w:t>Apartments - Mid/High Rise</w:t>
            </w:r>
          </w:p>
        </w:tc>
        <w:tc>
          <w:tcPr>
            <w:tcW w:type="dxa" w:w="1584"/>
            <w:shd w:val="clear" w:color="auto" w:fill="F2F4F8"/>
          </w:tcPr>
          <w:p>
            <w:pPr>
              <w:jc w:val="center"/>
            </w:pPr>
            <w:r>
              <w:rPr>
                <w:b w:val="0"/>
                <w:i w:val="0"/>
                <w:color w:val="444444"/>
                <w:sz w:val="17"/>
              </w:rPr>
              <w:t>4.50 – 5.50%</w:t>
            </w:r>
          </w:p>
        </w:tc>
        <w:tc>
          <w:tcPr>
            <w:tcW w:type="dxa" w:w="1008"/>
            <w:shd w:val="clear" w:color="auto" w:fill="F2F4F8"/>
          </w:tcPr>
          <w:p>
            <w:pPr>
              <w:jc w:val="center"/>
            </w:pPr>
            <w:r>
              <w:rPr>
                <w:b/>
                <w:i w:val="0"/>
                <w:color w:val="1E7E52"/>
                <w:sz w:val="17"/>
              </w:rPr>
              <w:t>5.00%</w:t>
            </w:r>
          </w:p>
        </w:tc>
        <w:tc>
          <w:tcPr>
            <w:tcW w:type="dxa" w:w="1584"/>
            <w:shd w:val="clear" w:color="auto" w:fill="F2F4F8"/>
          </w:tcPr>
          <w:p>
            <w:pPr>
              <w:jc w:val="center"/>
            </w:pPr>
            <w:r>
              <w:rPr>
                <w:b w:val="0"/>
                <w:i w:val="0"/>
                <w:color w:val="444444"/>
                <w:sz w:val="17"/>
              </w:rPr>
              <w:t>6.00 – 6.75%</w:t>
            </w:r>
          </w:p>
        </w:tc>
        <w:tc>
          <w:tcPr>
            <w:tcW w:type="dxa" w:w="1008"/>
            <w:shd w:val="clear" w:color="auto" w:fill="F2F4F8"/>
          </w:tcPr>
          <w:p>
            <w:pPr>
              <w:jc w:val="center"/>
            </w:pPr>
            <w:r>
              <w:rPr>
                <w:b/>
                <w:i w:val="0"/>
                <w:color w:val="C05020"/>
                <w:sz w:val="17"/>
              </w:rPr>
              <w:t>6.38%</w:t>
            </w:r>
          </w:p>
        </w:tc>
        <w:tc>
          <w:tcPr>
            <w:tcW w:type="dxa" w:w="864"/>
            <w:shd w:val="clear" w:color="auto" w:fill="F2F4F8"/>
          </w:tcPr>
          <w:p>
            <w:pPr>
              <w:jc w:val="center"/>
            </w:pPr>
            <w:r>
              <w:rPr>
                <w:b w:val="0"/>
                <w:i w:val="0"/>
                <w:color w:val="444444"/>
                <w:sz w:val="17"/>
              </w:rPr>
              <w:t>70%</w:t>
            </w:r>
          </w:p>
        </w:tc>
        <w:tc>
          <w:tcPr>
            <w:tcW w:type="dxa" w:w="864"/>
            <w:shd w:val="clear" w:color="auto" w:fill="F2F4F8"/>
          </w:tcPr>
          <w:p>
            <w:pPr>
              <w:jc w:val="center"/>
            </w:pPr>
            <w:r>
              <w:rPr>
                <w:b w:val="0"/>
                <w:i w:val="0"/>
                <w:color w:val="444444"/>
                <w:sz w:val="17"/>
              </w:rPr>
              <w:t>30 yr</w:t>
            </w:r>
          </w:p>
        </w:tc>
      </w:tr>
      <w:tr>
        <w:tc>
          <w:tcPr>
            <w:tcW w:type="dxa" w:w="3024"/>
          </w:tcPr>
          <w:p>
            <w:pPr>
              <w:jc w:val="left"/>
            </w:pPr>
            <w:r>
              <w:rPr>
                <w:b w:val="0"/>
                <w:i w:val="0"/>
                <w:color w:val="444444"/>
                <w:sz w:val="17"/>
              </w:rPr>
              <w:t>Office - CBD</w:t>
            </w:r>
          </w:p>
        </w:tc>
        <w:tc>
          <w:tcPr>
            <w:tcW w:type="dxa" w:w="1584"/>
          </w:tcPr>
          <w:p>
            <w:pPr>
              <w:jc w:val="center"/>
            </w:pPr>
            <w:r>
              <w:rPr>
                <w:b w:val="0"/>
                <w:i w:val="0"/>
                <w:color w:val="444444"/>
                <w:sz w:val="17"/>
              </w:rPr>
              <w:t>7.00 – 8.50%</w:t>
            </w:r>
          </w:p>
        </w:tc>
        <w:tc>
          <w:tcPr>
            <w:tcW w:type="dxa" w:w="1008"/>
          </w:tcPr>
          <w:p>
            <w:pPr>
              <w:jc w:val="center"/>
            </w:pPr>
            <w:r>
              <w:rPr>
                <w:b/>
                <w:i w:val="0"/>
                <w:color w:val="1E7E52"/>
                <w:sz w:val="17"/>
              </w:rPr>
              <w:t>7.75%</w:t>
            </w:r>
          </w:p>
        </w:tc>
        <w:tc>
          <w:tcPr>
            <w:tcW w:type="dxa" w:w="1584"/>
          </w:tcPr>
          <w:p>
            <w:pPr>
              <w:jc w:val="center"/>
            </w:pPr>
            <w:r>
              <w:rPr>
                <w:b w:val="0"/>
                <w:i w:val="0"/>
                <w:color w:val="444444"/>
                <w:sz w:val="17"/>
              </w:rPr>
              <w:t>7.25 – 8.00%</w:t>
            </w:r>
          </w:p>
        </w:tc>
        <w:tc>
          <w:tcPr>
            <w:tcW w:type="dxa" w:w="1008"/>
          </w:tcPr>
          <w:p>
            <w:pPr>
              <w:jc w:val="center"/>
            </w:pPr>
            <w:r>
              <w:rPr>
                <w:b/>
                <w:i w:val="0"/>
                <w:color w:val="C05020"/>
                <w:sz w:val="17"/>
              </w:rPr>
              <w:t>7.62%</w:t>
            </w:r>
          </w:p>
        </w:tc>
        <w:tc>
          <w:tcPr>
            <w:tcW w:type="dxa" w:w="864"/>
          </w:tcPr>
          <w:p>
            <w:pPr>
              <w:jc w:val="center"/>
            </w:pPr>
            <w:r>
              <w:rPr>
                <w:b w:val="0"/>
                <w:i w:val="0"/>
                <w:color w:val="444444"/>
                <w:sz w:val="17"/>
              </w:rPr>
              <w:t>60%</w:t>
            </w:r>
          </w:p>
        </w:tc>
        <w:tc>
          <w:tcPr>
            <w:tcW w:type="dxa" w:w="864"/>
          </w:tcPr>
          <w:p>
            <w:pPr>
              <w:jc w:val="center"/>
            </w:pPr>
            <w:r>
              <w:rPr>
                <w:b w:val="0"/>
                <w:i w:val="0"/>
                <w:color w:val="444444"/>
                <w:sz w:val="17"/>
              </w:rPr>
              <w:t>25 yr</w:t>
            </w:r>
          </w:p>
        </w:tc>
      </w:tr>
      <w:tr>
        <w:tc>
          <w:tcPr>
            <w:tcW w:type="dxa" w:w="3024"/>
            <w:shd w:val="clear" w:color="auto" w:fill="F2F4F8"/>
          </w:tcPr>
          <w:p>
            <w:pPr>
              <w:jc w:val="left"/>
            </w:pPr>
            <w:r>
              <w:rPr>
                <w:b w:val="0"/>
                <w:i w:val="0"/>
                <w:color w:val="444444"/>
                <w:sz w:val="17"/>
              </w:rPr>
              <w:t>Office - Suburban</w:t>
            </w:r>
          </w:p>
        </w:tc>
        <w:tc>
          <w:tcPr>
            <w:tcW w:type="dxa" w:w="1584"/>
            <w:shd w:val="clear" w:color="auto" w:fill="F2F4F8"/>
          </w:tcPr>
          <w:p>
            <w:pPr>
              <w:jc w:val="center"/>
            </w:pPr>
            <w:r>
              <w:rPr>
                <w:b w:val="0"/>
                <w:i w:val="0"/>
                <w:color w:val="444444"/>
                <w:sz w:val="17"/>
              </w:rPr>
              <w:t>7.50 – 9.00%</w:t>
            </w:r>
          </w:p>
        </w:tc>
        <w:tc>
          <w:tcPr>
            <w:tcW w:type="dxa" w:w="1008"/>
            <w:shd w:val="clear" w:color="auto" w:fill="F2F4F8"/>
          </w:tcPr>
          <w:p>
            <w:pPr>
              <w:jc w:val="center"/>
            </w:pPr>
            <w:r>
              <w:rPr>
                <w:b/>
                <w:i w:val="0"/>
                <w:color w:val="1E7E52"/>
                <w:sz w:val="17"/>
              </w:rPr>
              <w:t>8.25%</w:t>
            </w:r>
          </w:p>
        </w:tc>
        <w:tc>
          <w:tcPr>
            <w:tcW w:type="dxa" w:w="1584"/>
            <w:shd w:val="clear" w:color="auto" w:fill="F2F4F8"/>
          </w:tcPr>
          <w:p>
            <w:pPr>
              <w:jc w:val="center"/>
            </w:pPr>
            <w:r>
              <w:rPr>
                <w:b w:val="0"/>
                <w:i w:val="0"/>
                <w:color w:val="444444"/>
                <w:sz w:val="17"/>
              </w:rPr>
              <w:t>7.50 – 8.25%</w:t>
            </w:r>
          </w:p>
        </w:tc>
        <w:tc>
          <w:tcPr>
            <w:tcW w:type="dxa" w:w="1008"/>
            <w:shd w:val="clear" w:color="auto" w:fill="F2F4F8"/>
          </w:tcPr>
          <w:p>
            <w:pPr>
              <w:jc w:val="center"/>
            </w:pPr>
            <w:r>
              <w:rPr>
                <w:b/>
                <w:i w:val="0"/>
                <w:color w:val="C05020"/>
                <w:sz w:val="17"/>
              </w:rPr>
              <w:t>7.88%</w:t>
            </w:r>
          </w:p>
        </w:tc>
        <w:tc>
          <w:tcPr>
            <w:tcW w:type="dxa" w:w="864"/>
            <w:shd w:val="clear" w:color="auto" w:fill="F2F4F8"/>
          </w:tcPr>
          <w:p>
            <w:pPr>
              <w:jc w:val="center"/>
            </w:pPr>
            <w:r>
              <w:rPr>
                <w:b w:val="0"/>
                <w:i w:val="0"/>
                <w:color w:val="444444"/>
                <w:sz w:val="17"/>
              </w:rPr>
              <w:t>60%</w:t>
            </w:r>
          </w:p>
        </w:tc>
        <w:tc>
          <w:tcPr>
            <w:tcW w:type="dxa" w:w="864"/>
            <w:shd w:val="clear" w:color="auto" w:fill="F2F4F8"/>
          </w:tcPr>
          <w:p>
            <w:pPr>
              <w:jc w:val="center"/>
            </w:pPr>
            <w:r>
              <w:rPr>
                <w:b w:val="0"/>
                <w:i w:val="0"/>
                <w:color w:val="444444"/>
                <w:sz w:val="17"/>
              </w:rPr>
              <w:t>25 yr</w:t>
            </w:r>
          </w:p>
        </w:tc>
      </w:tr>
      <w:tr>
        <w:tc>
          <w:tcPr>
            <w:tcW w:type="dxa" w:w="3024"/>
          </w:tcPr>
          <w:p>
            <w:pPr>
              <w:jc w:val="left"/>
            </w:pPr>
            <w:r>
              <w:rPr>
                <w:b w:val="0"/>
                <w:i w:val="0"/>
                <w:color w:val="444444"/>
                <w:sz w:val="17"/>
              </w:rPr>
              <w:t>Retail - Strip (Anchored)</w:t>
            </w:r>
          </w:p>
        </w:tc>
        <w:tc>
          <w:tcPr>
            <w:tcW w:type="dxa" w:w="1584"/>
          </w:tcPr>
          <w:p>
            <w:pPr>
              <w:jc w:val="center"/>
            </w:pPr>
            <w:r>
              <w:rPr>
                <w:b w:val="0"/>
                <w:i w:val="0"/>
                <w:color w:val="444444"/>
                <w:sz w:val="17"/>
              </w:rPr>
              <w:t>6.00 – 7.25%</w:t>
            </w:r>
          </w:p>
        </w:tc>
        <w:tc>
          <w:tcPr>
            <w:tcW w:type="dxa" w:w="1008"/>
          </w:tcPr>
          <w:p>
            <w:pPr>
              <w:jc w:val="center"/>
            </w:pPr>
            <w:r>
              <w:rPr>
                <w:b/>
                <w:i w:val="0"/>
                <w:color w:val="1E7E52"/>
                <w:sz w:val="17"/>
              </w:rPr>
              <w:t>6.62%</w:t>
            </w:r>
          </w:p>
        </w:tc>
        <w:tc>
          <w:tcPr>
            <w:tcW w:type="dxa" w:w="1584"/>
          </w:tcPr>
          <w:p>
            <w:pPr>
              <w:jc w:val="center"/>
            </w:pPr>
            <w:r>
              <w:rPr>
                <w:b w:val="0"/>
                <w:i w:val="0"/>
                <w:color w:val="444444"/>
                <w:sz w:val="17"/>
              </w:rPr>
              <w:t>7.00 – 7.75%</w:t>
            </w:r>
          </w:p>
        </w:tc>
        <w:tc>
          <w:tcPr>
            <w:tcW w:type="dxa" w:w="1008"/>
          </w:tcPr>
          <w:p>
            <w:pPr>
              <w:jc w:val="center"/>
            </w:pPr>
            <w:r>
              <w:rPr>
                <w:b/>
                <w:i w:val="0"/>
                <w:color w:val="C05020"/>
                <w:sz w:val="17"/>
              </w:rPr>
              <w:t>7.38%</w:t>
            </w:r>
          </w:p>
        </w:tc>
        <w:tc>
          <w:tcPr>
            <w:tcW w:type="dxa" w:w="864"/>
          </w:tcPr>
          <w:p>
            <w:pPr>
              <w:jc w:val="center"/>
            </w:pPr>
            <w:r>
              <w:rPr>
                <w:b w:val="0"/>
                <w:i w:val="0"/>
                <w:color w:val="444444"/>
                <w:sz w:val="17"/>
              </w:rPr>
              <w:t>65%</w:t>
            </w:r>
          </w:p>
        </w:tc>
        <w:tc>
          <w:tcPr>
            <w:tcW w:type="dxa" w:w="864"/>
          </w:tcPr>
          <w:p>
            <w:pPr>
              <w:jc w:val="center"/>
            </w:pPr>
            <w:r>
              <w:rPr>
                <w:b w:val="0"/>
                <w:i w:val="0"/>
                <w:color w:val="444444"/>
                <w:sz w:val="17"/>
              </w:rPr>
              <w:t>25 yr</w:t>
            </w:r>
          </w:p>
        </w:tc>
      </w:tr>
      <w:tr>
        <w:tc>
          <w:tcPr>
            <w:tcW w:type="dxa" w:w="3024"/>
            <w:shd w:val="clear" w:color="auto" w:fill="F2F4F8"/>
          </w:tcPr>
          <w:p>
            <w:pPr>
              <w:jc w:val="left"/>
            </w:pPr>
            <w:r>
              <w:rPr>
                <w:b w:val="0"/>
                <w:i w:val="0"/>
                <w:color w:val="444444"/>
                <w:sz w:val="17"/>
              </w:rPr>
              <w:t>Retail - Strip (Unanchored)</w:t>
            </w:r>
          </w:p>
        </w:tc>
        <w:tc>
          <w:tcPr>
            <w:tcW w:type="dxa" w:w="1584"/>
            <w:shd w:val="clear" w:color="auto" w:fill="F2F4F8"/>
          </w:tcPr>
          <w:p>
            <w:pPr>
              <w:jc w:val="center"/>
            </w:pPr>
            <w:r>
              <w:rPr>
                <w:b w:val="0"/>
                <w:i w:val="0"/>
                <w:color w:val="444444"/>
                <w:sz w:val="17"/>
              </w:rPr>
              <w:t>6.75 – 8.00%</w:t>
            </w:r>
          </w:p>
        </w:tc>
        <w:tc>
          <w:tcPr>
            <w:tcW w:type="dxa" w:w="1008"/>
            <w:shd w:val="clear" w:color="auto" w:fill="F2F4F8"/>
          </w:tcPr>
          <w:p>
            <w:pPr>
              <w:jc w:val="center"/>
            </w:pPr>
            <w:r>
              <w:rPr>
                <w:b/>
                <w:i w:val="0"/>
                <w:color w:val="1E7E52"/>
                <w:sz w:val="17"/>
              </w:rPr>
              <w:t>7.38%</w:t>
            </w:r>
          </w:p>
        </w:tc>
        <w:tc>
          <w:tcPr>
            <w:tcW w:type="dxa" w:w="1584"/>
            <w:shd w:val="clear" w:color="auto" w:fill="F2F4F8"/>
          </w:tcPr>
          <w:p>
            <w:pPr>
              <w:jc w:val="center"/>
            </w:pPr>
            <w:r>
              <w:rPr>
                <w:b w:val="0"/>
                <w:i w:val="0"/>
                <w:color w:val="444444"/>
                <w:sz w:val="17"/>
              </w:rPr>
              <w:t>7.25 – 8.00%</w:t>
            </w:r>
          </w:p>
        </w:tc>
        <w:tc>
          <w:tcPr>
            <w:tcW w:type="dxa" w:w="1008"/>
            <w:shd w:val="clear" w:color="auto" w:fill="F2F4F8"/>
          </w:tcPr>
          <w:p>
            <w:pPr>
              <w:jc w:val="center"/>
            </w:pPr>
            <w:r>
              <w:rPr>
                <w:b/>
                <w:i w:val="0"/>
                <w:color w:val="C05020"/>
                <w:sz w:val="17"/>
              </w:rPr>
              <w:t>7.62%</w:t>
            </w:r>
          </w:p>
        </w:tc>
        <w:tc>
          <w:tcPr>
            <w:tcW w:type="dxa" w:w="864"/>
            <w:shd w:val="clear" w:color="auto" w:fill="F2F4F8"/>
          </w:tcPr>
          <w:p>
            <w:pPr>
              <w:jc w:val="center"/>
            </w:pPr>
            <w:r>
              <w:rPr>
                <w:b w:val="0"/>
                <w:i w:val="0"/>
                <w:color w:val="444444"/>
                <w:sz w:val="17"/>
              </w:rPr>
              <w:t>60%</w:t>
            </w:r>
          </w:p>
        </w:tc>
        <w:tc>
          <w:tcPr>
            <w:tcW w:type="dxa" w:w="864"/>
            <w:shd w:val="clear" w:color="auto" w:fill="F2F4F8"/>
          </w:tcPr>
          <w:p>
            <w:pPr>
              <w:jc w:val="center"/>
            </w:pPr>
            <w:r>
              <w:rPr>
                <w:b w:val="0"/>
                <w:i w:val="0"/>
                <w:color w:val="444444"/>
                <w:sz w:val="17"/>
              </w:rPr>
              <w:t>25 yr</w:t>
            </w:r>
          </w:p>
        </w:tc>
      </w:tr>
      <w:tr>
        <w:tc>
          <w:tcPr>
            <w:tcW w:type="dxa" w:w="3024"/>
          </w:tcPr>
          <w:p>
            <w:pPr>
              <w:jc w:val="left"/>
            </w:pPr>
            <w:r>
              <w:rPr>
                <w:b w:val="0"/>
                <w:i w:val="0"/>
                <w:color w:val="444444"/>
                <w:sz w:val="17"/>
              </w:rPr>
              <w:t>Retail - NNN Lease (National)</w:t>
            </w:r>
          </w:p>
        </w:tc>
        <w:tc>
          <w:tcPr>
            <w:tcW w:type="dxa" w:w="1584"/>
          </w:tcPr>
          <w:p>
            <w:pPr>
              <w:jc w:val="center"/>
            </w:pPr>
            <w:r>
              <w:rPr>
                <w:b w:val="0"/>
                <w:i w:val="0"/>
                <w:color w:val="444444"/>
                <w:sz w:val="17"/>
              </w:rPr>
              <w:t>5.25 – 6.25%</w:t>
            </w:r>
          </w:p>
        </w:tc>
        <w:tc>
          <w:tcPr>
            <w:tcW w:type="dxa" w:w="1008"/>
          </w:tcPr>
          <w:p>
            <w:pPr>
              <w:jc w:val="center"/>
            </w:pPr>
            <w:r>
              <w:rPr>
                <w:b/>
                <w:i w:val="0"/>
                <w:color w:val="1E7E52"/>
                <w:sz w:val="17"/>
              </w:rPr>
              <w:t>5.75%</w:t>
            </w:r>
          </w:p>
        </w:tc>
        <w:tc>
          <w:tcPr>
            <w:tcW w:type="dxa" w:w="1584"/>
          </w:tcPr>
          <w:p>
            <w:pPr>
              <w:jc w:val="center"/>
            </w:pPr>
            <w:r>
              <w:rPr>
                <w:b w:val="0"/>
                <w:i w:val="0"/>
                <w:color w:val="444444"/>
                <w:sz w:val="17"/>
              </w:rPr>
              <w:t>6.50 – 7.25%</w:t>
            </w:r>
          </w:p>
        </w:tc>
        <w:tc>
          <w:tcPr>
            <w:tcW w:type="dxa" w:w="1008"/>
          </w:tcPr>
          <w:p>
            <w:pPr>
              <w:jc w:val="center"/>
            </w:pPr>
            <w:r>
              <w:rPr>
                <w:b/>
                <w:i w:val="0"/>
                <w:color w:val="C05020"/>
                <w:sz w:val="17"/>
              </w:rPr>
              <w:t>6.88%</w:t>
            </w:r>
          </w:p>
        </w:tc>
        <w:tc>
          <w:tcPr>
            <w:tcW w:type="dxa" w:w="864"/>
          </w:tcPr>
          <w:p>
            <w:pPr>
              <w:jc w:val="center"/>
            </w:pPr>
            <w:r>
              <w:rPr>
                <w:b w:val="0"/>
                <w:i w:val="0"/>
                <w:color w:val="444444"/>
                <w:sz w:val="17"/>
              </w:rPr>
              <w:t>65%</w:t>
            </w:r>
          </w:p>
        </w:tc>
        <w:tc>
          <w:tcPr>
            <w:tcW w:type="dxa" w:w="864"/>
          </w:tcPr>
          <w:p>
            <w:pPr>
              <w:jc w:val="center"/>
            </w:pPr>
            <w:r>
              <w:rPr>
                <w:b w:val="0"/>
                <w:i w:val="0"/>
                <w:color w:val="444444"/>
                <w:sz w:val="17"/>
              </w:rPr>
              <w:t>25 yr</w:t>
            </w:r>
          </w:p>
        </w:tc>
      </w:tr>
      <w:tr>
        <w:tc>
          <w:tcPr>
            <w:tcW w:type="dxa" w:w="3024"/>
            <w:shd w:val="clear" w:color="auto" w:fill="F2F4F8"/>
          </w:tcPr>
          <w:p>
            <w:pPr>
              <w:jc w:val="left"/>
            </w:pPr>
            <w:r>
              <w:rPr>
                <w:b w:val="0"/>
                <w:i w:val="0"/>
                <w:color w:val="444444"/>
                <w:sz w:val="17"/>
              </w:rPr>
              <w:t>Industrial - Warehouse/Distribution</w:t>
            </w:r>
          </w:p>
        </w:tc>
        <w:tc>
          <w:tcPr>
            <w:tcW w:type="dxa" w:w="1584"/>
            <w:shd w:val="clear" w:color="auto" w:fill="F2F4F8"/>
          </w:tcPr>
          <w:p>
            <w:pPr>
              <w:jc w:val="center"/>
            </w:pPr>
            <w:r>
              <w:rPr>
                <w:b w:val="0"/>
                <w:i w:val="0"/>
                <w:color w:val="444444"/>
                <w:sz w:val="17"/>
              </w:rPr>
              <w:t>5.25 – 6.50%</w:t>
            </w:r>
          </w:p>
        </w:tc>
        <w:tc>
          <w:tcPr>
            <w:tcW w:type="dxa" w:w="1008"/>
            <w:shd w:val="clear" w:color="auto" w:fill="F2F4F8"/>
          </w:tcPr>
          <w:p>
            <w:pPr>
              <w:jc w:val="center"/>
            </w:pPr>
            <w:r>
              <w:rPr>
                <w:b/>
                <w:i w:val="0"/>
                <w:color w:val="1E7E52"/>
                <w:sz w:val="17"/>
              </w:rPr>
              <w:t>5.88%</w:t>
            </w:r>
          </w:p>
        </w:tc>
        <w:tc>
          <w:tcPr>
            <w:tcW w:type="dxa" w:w="1584"/>
            <w:shd w:val="clear" w:color="auto" w:fill="F2F4F8"/>
          </w:tcPr>
          <w:p>
            <w:pPr>
              <w:jc w:val="center"/>
            </w:pPr>
            <w:r>
              <w:rPr>
                <w:b w:val="0"/>
                <w:i w:val="0"/>
                <w:color w:val="444444"/>
                <w:sz w:val="17"/>
              </w:rPr>
              <w:t>6.50 – 7.25%</w:t>
            </w:r>
          </w:p>
        </w:tc>
        <w:tc>
          <w:tcPr>
            <w:tcW w:type="dxa" w:w="1008"/>
            <w:shd w:val="clear" w:color="auto" w:fill="F2F4F8"/>
          </w:tcPr>
          <w:p>
            <w:pPr>
              <w:jc w:val="center"/>
            </w:pPr>
            <w:r>
              <w:rPr>
                <w:b/>
                <w:i w:val="0"/>
                <w:color w:val="C05020"/>
                <w:sz w:val="17"/>
              </w:rPr>
              <w:t>6.88%</w:t>
            </w:r>
          </w:p>
        </w:tc>
        <w:tc>
          <w:tcPr>
            <w:tcW w:type="dxa" w:w="864"/>
            <w:shd w:val="clear" w:color="auto" w:fill="F2F4F8"/>
          </w:tcPr>
          <w:p>
            <w:pPr>
              <w:jc w:val="center"/>
            </w:pPr>
            <w:r>
              <w:rPr>
                <w:b w:val="0"/>
                <w:i w:val="0"/>
                <w:color w:val="444444"/>
                <w:sz w:val="17"/>
              </w:rPr>
              <w:t>65%</w:t>
            </w:r>
          </w:p>
        </w:tc>
        <w:tc>
          <w:tcPr>
            <w:tcW w:type="dxa" w:w="864"/>
            <w:shd w:val="clear" w:color="auto" w:fill="F2F4F8"/>
          </w:tcPr>
          <w:p>
            <w:pPr>
              <w:jc w:val="center"/>
            </w:pPr>
            <w:r>
              <w:rPr>
                <w:b w:val="0"/>
                <w:i w:val="0"/>
                <w:color w:val="444444"/>
                <w:sz w:val="17"/>
              </w:rPr>
              <w:t>25 yr</w:t>
            </w:r>
          </w:p>
        </w:tc>
      </w:tr>
      <w:tr>
        <w:tc>
          <w:tcPr>
            <w:tcW w:type="dxa" w:w="3024"/>
          </w:tcPr>
          <w:p>
            <w:pPr>
              <w:jc w:val="left"/>
            </w:pPr>
            <w:r>
              <w:rPr>
                <w:b w:val="0"/>
                <w:i w:val="0"/>
                <w:color w:val="444444"/>
                <w:sz w:val="17"/>
              </w:rPr>
              <w:t>Industrial - R&amp;D/Flex</w:t>
            </w:r>
          </w:p>
        </w:tc>
        <w:tc>
          <w:tcPr>
            <w:tcW w:type="dxa" w:w="1584"/>
          </w:tcPr>
          <w:p>
            <w:pPr>
              <w:jc w:val="center"/>
            </w:pPr>
            <w:r>
              <w:rPr>
                <w:b w:val="0"/>
                <w:i w:val="0"/>
                <w:color w:val="444444"/>
                <w:sz w:val="17"/>
              </w:rPr>
              <w:t>5.75 – 7.00%</w:t>
            </w:r>
          </w:p>
        </w:tc>
        <w:tc>
          <w:tcPr>
            <w:tcW w:type="dxa" w:w="1008"/>
          </w:tcPr>
          <w:p>
            <w:pPr>
              <w:jc w:val="center"/>
            </w:pPr>
            <w:r>
              <w:rPr>
                <w:b/>
                <w:i w:val="0"/>
                <w:color w:val="1E7E52"/>
                <w:sz w:val="17"/>
              </w:rPr>
              <w:t>6.38%</w:t>
            </w:r>
          </w:p>
        </w:tc>
        <w:tc>
          <w:tcPr>
            <w:tcW w:type="dxa" w:w="1584"/>
          </w:tcPr>
          <w:p>
            <w:pPr>
              <w:jc w:val="center"/>
            </w:pPr>
            <w:r>
              <w:rPr>
                <w:b w:val="0"/>
                <w:i w:val="0"/>
                <w:color w:val="444444"/>
                <w:sz w:val="17"/>
              </w:rPr>
              <w:t>6.75 – 7.50%</w:t>
            </w:r>
          </w:p>
        </w:tc>
        <w:tc>
          <w:tcPr>
            <w:tcW w:type="dxa" w:w="1008"/>
          </w:tcPr>
          <w:p>
            <w:pPr>
              <w:jc w:val="center"/>
            </w:pPr>
            <w:r>
              <w:rPr>
                <w:b/>
                <w:i w:val="0"/>
                <w:color w:val="C05020"/>
                <w:sz w:val="17"/>
              </w:rPr>
              <w:t>7.12%</w:t>
            </w:r>
          </w:p>
        </w:tc>
        <w:tc>
          <w:tcPr>
            <w:tcW w:type="dxa" w:w="864"/>
          </w:tcPr>
          <w:p>
            <w:pPr>
              <w:jc w:val="center"/>
            </w:pPr>
            <w:r>
              <w:rPr>
                <w:b w:val="0"/>
                <w:i w:val="0"/>
                <w:color w:val="444444"/>
                <w:sz w:val="17"/>
              </w:rPr>
              <w:t>65%</w:t>
            </w:r>
          </w:p>
        </w:tc>
        <w:tc>
          <w:tcPr>
            <w:tcW w:type="dxa" w:w="864"/>
          </w:tcPr>
          <w:p>
            <w:pPr>
              <w:jc w:val="center"/>
            </w:pPr>
            <w:r>
              <w:rPr>
                <w:b w:val="0"/>
                <w:i w:val="0"/>
                <w:color w:val="444444"/>
                <w:sz w:val="17"/>
              </w:rPr>
              <w:t>25 yr</w:t>
            </w:r>
          </w:p>
        </w:tc>
      </w:tr>
      <w:tr>
        <w:tc>
          <w:tcPr>
            <w:tcW w:type="dxa" w:w="3024"/>
            <w:shd w:val="clear" w:color="auto" w:fill="F2F4F8"/>
          </w:tcPr>
          <w:p>
            <w:pPr>
              <w:jc w:val="left"/>
            </w:pPr>
            <w:r>
              <w:rPr>
                <w:b w:val="0"/>
                <w:i w:val="0"/>
                <w:color w:val="444444"/>
                <w:sz w:val="17"/>
              </w:rPr>
              <w:t>Hotel - Full Service</w:t>
            </w:r>
          </w:p>
        </w:tc>
        <w:tc>
          <w:tcPr>
            <w:tcW w:type="dxa" w:w="1584"/>
            <w:shd w:val="clear" w:color="auto" w:fill="F2F4F8"/>
          </w:tcPr>
          <w:p>
            <w:pPr>
              <w:jc w:val="center"/>
            </w:pPr>
            <w:r>
              <w:rPr>
                <w:b w:val="0"/>
                <w:i w:val="0"/>
                <w:color w:val="444444"/>
                <w:sz w:val="17"/>
              </w:rPr>
              <w:t>8.00 – 9.50%</w:t>
            </w:r>
          </w:p>
        </w:tc>
        <w:tc>
          <w:tcPr>
            <w:tcW w:type="dxa" w:w="1008"/>
            <w:shd w:val="clear" w:color="auto" w:fill="F2F4F8"/>
          </w:tcPr>
          <w:p>
            <w:pPr>
              <w:jc w:val="center"/>
            </w:pPr>
            <w:r>
              <w:rPr>
                <w:b/>
                <w:i w:val="0"/>
                <w:color w:val="1E7E52"/>
                <w:sz w:val="17"/>
              </w:rPr>
              <w:t>8.75%</w:t>
            </w:r>
          </w:p>
        </w:tc>
        <w:tc>
          <w:tcPr>
            <w:tcW w:type="dxa" w:w="1584"/>
            <w:shd w:val="clear" w:color="auto" w:fill="F2F4F8"/>
          </w:tcPr>
          <w:p>
            <w:pPr>
              <w:jc w:val="center"/>
            </w:pPr>
            <w:r>
              <w:rPr>
                <w:b w:val="0"/>
                <w:i w:val="0"/>
                <w:color w:val="444444"/>
                <w:sz w:val="17"/>
              </w:rPr>
              <w:t>7.50 – 8.50%</w:t>
            </w:r>
          </w:p>
        </w:tc>
        <w:tc>
          <w:tcPr>
            <w:tcW w:type="dxa" w:w="1008"/>
            <w:shd w:val="clear" w:color="auto" w:fill="F2F4F8"/>
          </w:tcPr>
          <w:p>
            <w:pPr>
              <w:jc w:val="center"/>
            </w:pPr>
            <w:r>
              <w:rPr>
                <w:b/>
                <w:i w:val="0"/>
                <w:color w:val="C05020"/>
                <w:sz w:val="17"/>
              </w:rPr>
              <w:t>8.00%</w:t>
            </w:r>
          </w:p>
        </w:tc>
        <w:tc>
          <w:tcPr>
            <w:tcW w:type="dxa" w:w="864"/>
            <w:shd w:val="clear" w:color="auto" w:fill="F2F4F8"/>
          </w:tcPr>
          <w:p>
            <w:pPr>
              <w:jc w:val="center"/>
            </w:pPr>
            <w:r>
              <w:rPr>
                <w:b w:val="0"/>
                <w:i w:val="0"/>
                <w:color w:val="444444"/>
                <w:sz w:val="17"/>
              </w:rPr>
              <w:t>60%</w:t>
            </w:r>
          </w:p>
        </w:tc>
        <w:tc>
          <w:tcPr>
            <w:tcW w:type="dxa" w:w="864"/>
            <w:shd w:val="clear" w:color="auto" w:fill="F2F4F8"/>
          </w:tcPr>
          <w:p>
            <w:pPr>
              <w:jc w:val="center"/>
            </w:pPr>
            <w:r>
              <w:rPr>
                <w:b w:val="0"/>
                <w:i w:val="0"/>
                <w:color w:val="444444"/>
                <w:sz w:val="17"/>
              </w:rPr>
              <w:t>25 yr</w:t>
            </w:r>
          </w:p>
        </w:tc>
      </w:tr>
      <w:tr>
        <w:tc>
          <w:tcPr>
            <w:tcW w:type="dxa" w:w="3024"/>
          </w:tcPr>
          <w:p>
            <w:pPr>
              <w:jc w:val="left"/>
            </w:pPr>
            <w:r>
              <w:rPr>
                <w:b w:val="0"/>
                <w:i w:val="0"/>
                <w:color w:val="444444"/>
                <w:sz w:val="17"/>
              </w:rPr>
              <w:t>Hotel - Limited Service</w:t>
            </w:r>
          </w:p>
        </w:tc>
        <w:tc>
          <w:tcPr>
            <w:tcW w:type="dxa" w:w="1584"/>
          </w:tcPr>
          <w:p>
            <w:pPr>
              <w:jc w:val="center"/>
            </w:pPr>
            <w:r>
              <w:rPr>
                <w:b w:val="0"/>
                <w:i w:val="0"/>
                <w:color w:val="444444"/>
                <w:sz w:val="17"/>
              </w:rPr>
              <w:t>8.50 – 10.00%</w:t>
            </w:r>
          </w:p>
        </w:tc>
        <w:tc>
          <w:tcPr>
            <w:tcW w:type="dxa" w:w="1008"/>
          </w:tcPr>
          <w:p>
            <w:pPr>
              <w:jc w:val="center"/>
            </w:pPr>
            <w:r>
              <w:rPr>
                <w:b/>
                <w:i w:val="0"/>
                <w:color w:val="1E7E52"/>
                <w:sz w:val="17"/>
              </w:rPr>
              <w:t>9.25%</w:t>
            </w:r>
          </w:p>
        </w:tc>
        <w:tc>
          <w:tcPr>
            <w:tcW w:type="dxa" w:w="1584"/>
          </w:tcPr>
          <w:p>
            <w:pPr>
              <w:jc w:val="center"/>
            </w:pPr>
            <w:r>
              <w:rPr>
                <w:b w:val="0"/>
                <w:i w:val="0"/>
                <w:color w:val="444444"/>
                <w:sz w:val="17"/>
              </w:rPr>
              <w:t>8.00 – 9.00%</w:t>
            </w:r>
          </w:p>
        </w:tc>
        <w:tc>
          <w:tcPr>
            <w:tcW w:type="dxa" w:w="1008"/>
          </w:tcPr>
          <w:p>
            <w:pPr>
              <w:jc w:val="center"/>
            </w:pPr>
            <w:r>
              <w:rPr>
                <w:b/>
                <w:i w:val="0"/>
                <w:color w:val="C05020"/>
                <w:sz w:val="17"/>
              </w:rPr>
              <w:t>8.50%</w:t>
            </w:r>
          </w:p>
        </w:tc>
        <w:tc>
          <w:tcPr>
            <w:tcW w:type="dxa" w:w="864"/>
          </w:tcPr>
          <w:p>
            <w:pPr>
              <w:jc w:val="center"/>
            </w:pPr>
            <w:r>
              <w:rPr>
                <w:b w:val="0"/>
                <w:i w:val="0"/>
                <w:color w:val="444444"/>
                <w:sz w:val="17"/>
              </w:rPr>
              <w:t>60%</w:t>
            </w:r>
          </w:p>
        </w:tc>
        <w:tc>
          <w:tcPr>
            <w:tcW w:type="dxa" w:w="864"/>
          </w:tcPr>
          <w:p>
            <w:pPr>
              <w:jc w:val="center"/>
            </w:pPr>
            <w:r>
              <w:rPr>
                <w:b w:val="0"/>
                <w:i w:val="0"/>
                <w:color w:val="444444"/>
                <w:sz w:val="17"/>
              </w:rPr>
              <w:t>25 yr</w:t>
            </w:r>
          </w:p>
        </w:tc>
      </w:tr>
      <w:tr>
        <w:tc>
          <w:tcPr>
            <w:tcW w:type="dxa" w:w="3024"/>
            <w:shd w:val="clear" w:color="auto" w:fill="F2F4F8"/>
          </w:tcPr>
          <w:p>
            <w:pPr>
              <w:jc w:val="left"/>
            </w:pPr>
            <w:r>
              <w:rPr>
                <w:b w:val="0"/>
                <w:i w:val="0"/>
                <w:color w:val="444444"/>
                <w:sz w:val="17"/>
              </w:rPr>
              <w:t>Self Storage</w:t>
            </w:r>
          </w:p>
        </w:tc>
        <w:tc>
          <w:tcPr>
            <w:tcW w:type="dxa" w:w="1584"/>
            <w:shd w:val="clear" w:color="auto" w:fill="F2F4F8"/>
          </w:tcPr>
          <w:p>
            <w:pPr>
              <w:jc w:val="center"/>
            </w:pPr>
            <w:r>
              <w:rPr>
                <w:b w:val="0"/>
                <w:i w:val="0"/>
                <w:color w:val="444444"/>
                <w:sz w:val="17"/>
              </w:rPr>
              <w:t>5.50 – 6.75%</w:t>
            </w:r>
          </w:p>
        </w:tc>
        <w:tc>
          <w:tcPr>
            <w:tcW w:type="dxa" w:w="1008"/>
            <w:shd w:val="clear" w:color="auto" w:fill="F2F4F8"/>
          </w:tcPr>
          <w:p>
            <w:pPr>
              <w:jc w:val="center"/>
            </w:pPr>
            <w:r>
              <w:rPr>
                <w:b/>
                <w:i w:val="0"/>
                <w:color w:val="1E7E52"/>
                <w:sz w:val="17"/>
              </w:rPr>
              <w:t>6.12%</w:t>
            </w:r>
          </w:p>
        </w:tc>
        <w:tc>
          <w:tcPr>
            <w:tcW w:type="dxa" w:w="1584"/>
            <w:shd w:val="clear" w:color="auto" w:fill="F2F4F8"/>
          </w:tcPr>
          <w:p>
            <w:pPr>
              <w:jc w:val="center"/>
            </w:pPr>
            <w:r>
              <w:rPr>
                <w:b w:val="0"/>
                <w:i w:val="0"/>
                <w:color w:val="444444"/>
                <w:sz w:val="17"/>
              </w:rPr>
              <w:t>6.75 – 7.50%</w:t>
            </w:r>
          </w:p>
        </w:tc>
        <w:tc>
          <w:tcPr>
            <w:tcW w:type="dxa" w:w="1008"/>
            <w:shd w:val="clear" w:color="auto" w:fill="F2F4F8"/>
          </w:tcPr>
          <w:p>
            <w:pPr>
              <w:jc w:val="center"/>
            </w:pPr>
            <w:r>
              <w:rPr>
                <w:b/>
                <w:i w:val="0"/>
                <w:color w:val="C05020"/>
                <w:sz w:val="17"/>
              </w:rPr>
              <w:t>7.12%</w:t>
            </w:r>
          </w:p>
        </w:tc>
        <w:tc>
          <w:tcPr>
            <w:tcW w:type="dxa" w:w="864"/>
            <w:shd w:val="clear" w:color="auto" w:fill="F2F4F8"/>
          </w:tcPr>
          <w:p>
            <w:pPr>
              <w:jc w:val="center"/>
            </w:pPr>
            <w:r>
              <w:rPr>
                <w:b w:val="0"/>
                <w:i w:val="0"/>
                <w:color w:val="444444"/>
                <w:sz w:val="17"/>
              </w:rPr>
              <w:t>65%</w:t>
            </w:r>
          </w:p>
        </w:tc>
        <w:tc>
          <w:tcPr>
            <w:tcW w:type="dxa" w:w="864"/>
            <w:shd w:val="clear" w:color="auto" w:fill="F2F4F8"/>
          </w:tcPr>
          <w:p>
            <w:pPr>
              <w:jc w:val="center"/>
            </w:pPr>
            <w:r>
              <w:rPr>
                <w:b w:val="0"/>
                <w:i w:val="0"/>
                <w:color w:val="444444"/>
                <w:sz w:val="17"/>
              </w:rPr>
              <w:t>25 yr</w:t>
            </w:r>
          </w:p>
        </w:tc>
      </w:tr>
      <w:tr>
        <w:tc>
          <w:tcPr>
            <w:tcW w:type="dxa" w:w="3024"/>
          </w:tcPr>
          <w:p>
            <w:pPr>
              <w:jc w:val="left"/>
            </w:pPr>
            <w:r>
              <w:rPr>
                <w:b w:val="0"/>
                <w:i w:val="0"/>
                <w:color w:val="444444"/>
                <w:sz w:val="17"/>
              </w:rPr>
              <w:t>Medical Office</w:t>
            </w:r>
          </w:p>
        </w:tc>
        <w:tc>
          <w:tcPr>
            <w:tcW w:type="dxa" w:w="1584"/>
          </w:tcPr>
          <w:p>
            <w:pPr>
              <w:jc w:val="center"/>
            </w:pPr>
            <w:r>
              <w:rPr>
                <w:b w:val="0"/>
                <w:i w:val="0"/>
                <w:color w:val="444444"/>
                <w:sz w:val="17"/>
              </w:rPr>
              <w:t>6.00 – 7.25%</w:t>
            </w:r>
          </w:p>
        </w:tc>
        <w:tc>
          <w:tcPr>
            <w:tcW w:type="dxa" w:w="1008"/>
          </w:tcPr>
          <w:p>
            <w:pPr>
              <w:jc w:val="center"/>
            </w:pPr>
            <w:r>
              <w:rPr>
                <w:b/>
                <w:i w:val="0"/>
                <w:color w:val="1E7E52"/>
                <w:sz w:val="17"/>
              </w:rPr>
              <w:t>6.62%</w:t>
            </w:r>
          </w:p>
        </w:tc>
        <w:tc>
          <w:tcPr>
            <w:tcW w:type="dxa" w:w="1584"/>
          </w:tcPr>
          <w:p>
            <w:pPr>
              <w:jc w:val="center"/>
            </w:pPr>
            <w:r>
              <w:rPr>
                <w:b w:val="0"/>
                <w:i w:val="0"/>
                <w:color w:val="444444"/>
                <w:sz w:val="17"/>
              </w:rPr>
              <w:t>6.75 – 7.50%</w:t>
            </w:r>
          </w:p>
        </w:tc>
        <w:tc>
          <w:tcPr>
            <w:tcW w:type="dxa" w:w="1008"/>
          </w:tcPr>
          <w:p>
            <w:pPr>
              <w:jc w:val="center"/>
            </w:pPr>
            <w:r>
              <w:rPr>
                <w:b/>
                <w:i w:val="0"/>
                <w:color w:val="C05020"/>
                <w:sz w:val="17"/>
              </w:rPr>
              <w:t>7.12%</w:t>
            </w:r>
          </w:p>
        </w:tc>
        <w:tc>
          <w:tcPr>
            <w:tcW w:type="dxa" w:w="864"/>
          </w:tcPr>
          <w:p>
            <w:pPr>
              <w:jc w:val="center"/>
            </w:pPr>
            <w:r>
              <w:rPr>
                <w:b w:val="0"/>
                <w:i w:val="0"/>
                <w:color w:val="444444"/>
                <w:sz w:val="17"/>
              </w:rPr>
              <w:t>65%</w:t>
            </w:r>
          </w:p>
        </w:tc>
        <w:tc>
          <w:tcPr>
            <w:tcW w:type="dxa" w:w="864"/>
          </w:tcPr>
          <w:p>
            <w:pPr>
              <w:jc w:val="center"/>
            </w:pPr>
            <w:r>
              <w:rPr>
                <w:b w:val="0"/>
                <w:i w:val="0"/>
                <w:color w:val="444444"/>
                <w:sz w:val="17"/>
              </w:rPr>
              <w:t>25 yr</w:t>
            </w:r>
          </w:p>
        </w:tc>
      </w:tr>
      <w:tr>
        <w:tc>
          <w:tcPr>
            <w:tcW w:type="dxa" w:w="3024"/>
            <w:shd w:val="clear" w:color="auto" w:fill="F2F4F8"/>
          </w:tcPr>
          <w:p>
            <w:pPr>
              <w:jc w:val="left"/>
            </w:pPr>
            <w:r>
              <w:rPr>
                <w:b w:val="0"/>
                <w:i w:val="0"/>
                <w:color w:val="444444"/>
                <w:sz w:val="17"/>
              </w:rPr>
              <w:t>Senior Housing - Assisted Living</w:t>
            </w:r>
          </w:p>
        </w:tc>
        <w:tc>
          <w:tcPr>
            <w:tcW w:type="dxa" w:w="1584"/>
            <w:shd w:val="clear" w:color="auto" w:fill="F2F4F8"/>
          </w:tcPr>
          <w:p>
            <w:pPr>
              <w:jc w:val="center"/>
            </w:pPr>
            <w:r>
              <w:rPr>
                <w:b w:val="0"/>
                <w:i w:val="0"/>
                <w:color w:val="444444"/>
                <w:sz w:val="17"/>
              </w:rPr>
              <w:t>7.00 – 8.50%</w:t>
            </w:r>
          </w:p>
        </w:tc>
        <w:tc>
          <w:tcPr>
            <w:tcW w:type="dxa" w:w="1008"/>
            <w:shd w:val="clear" w:color="auto" w:fill="F2F4F8"/>
          </w:tcPr>
          <w:p>
            <w:pPr>
              <w:jc w:val="center"/>
            </w:pPr>
            <w:r>
              <w:rPr>
                <w:b/>
                <w:i w:val="0"/>
                <w:color w:val="1E7E52"/>
                <w:sz w:val="17"/>
              </w:rPr>
              <w:t>7.75%</w:t>
            </w:r>
          </w:p>
        </w:tc>
        <w:tc>
          <w:tcPr>
            <w:tcW w:type="dxa" w:w="1584"/>
            <w:shd w:val="clear" w:color="auto" w:fill="F2F4F8"/>
          </w:tcPr>
          <w:p>
            <w:pPr>
              <w:jc w:val="center"/>
            </w:pPr>
            <w:r>
              <w:rPr>
                <w:b w:val="0"/>
                <w:i w:val="0"/>
                <w:color w:val="444444"/>
                <w:sz w:val="17"/>
              </w:rPr>
              <w:t>7.25 – 8.00%</w:t>
            </w:r>
          </w:p>
        </w:tc>
        <w:tc>
          <w:tcPr>
            <w:tcW w:type="dxa" w:w="1008"/>
            <w:shd w:val="clear" w:color="auto" w:fill="F2F4F8"/>
          </w:tcPr>
          <w:p>
            <w:pPr>
              <w:jc w:val="center"/>
            </w:pPr>
            <w:r>
              <w:rPr>
                <w:b/>
                <w:i w:val="0"/>
                <w:color w:val="C05020"/>
                <w:sz w:val="17"/>
              </w:rPr>
              <w:t>7.62%</w:t>
            </w:r>
          </w:p>
        </w:tc>
        <w:tc>
          <w:tcPr>
            <w:tcW w:type="dxa" w:w="864"/>
            <w:shd w:val="clear" w:color="auto" w:fill="F2F4F8"/>
          </w:tcPr>
          <w:p>
            <w:pPr>
              <w:jc w:val="center"/>
            </w:pPr>
            <w:r>
              <w:rPr>
                <w:b w:val="0"/>
                <w:i w:val="0"/>
                <w:color w:val="444444"/>
                <w:sz w:val="17"/>
              </w:rPr>
              <w:t>60%</w:t>
            </w:r>
          </w:p>
        </w:tc>
        <w:tc>
          <w:tcPr>
            <w:tcW w:type="dxa" w:w="864"/>
            <w:shd w:val="clear" w:color="auto" w:fill="F2F4F8"/>
          </w:tcPr>
          <w:p>
            <w:pPr>
              <w:jc w:val="center"/>
            </w:pPr>
            <w:r>
              <w:rPr>
                <w:b w:val="0"/>
                <w:i w:val="0"/>
                <w:color w:val="444444"/>
                <w:sz w:val="17"/>
              </w:rPr>
              <w:t>25 yr</w:t>
            </w:r>
          </w:p>
        </w:tc>
      </w:tr>
      <w:tr>
        <w:tc>
          <w:tcPr>
            <w:tcW w:type="dxa" w:w="3024"/>
          </w:tcPr>
          <w:p>
            <w:pPr>
              <w:jc w:val="left"/>
            </w:pPr>
            <w:r>
              <w:rPr>
                <w:b w:val="0"/>
                <w:i w:val="0"/>
                <w:color w:val="444444"/>
                <w:sz w:val="17"/>
              </w:rPr>
              <w:t>Mobile Home Parks</w:t>
            </w:r>
          </w:p>
        </w:tc>
        <w:tc>
          <w:tcPr>
            <w:tcW w:type="dxa" w:w="1584"/>
          </w:tcPr>
          <w:p>
            <w:pPr>
              <w:jc w:val="center"/>
            </w:pPr>
            <w:r>
              <w:rPr>
                <w:b w:val="0"/>
                <w:i w:val="0"/>
                <w:color w:val="444444"/>
                <w:sz w:val="17"/>
              </w:rPr>
              <w:t>5.50 – 6.75%</w:t>
            </w:r>
          </w:p>
        </w:tc>
        <w:tc>
          <w:tcPr>
            <w:tcW w:type="dxa" w:w="1008"/>
          </w:tcPr>
          <w:p>
            <w:pPr>
              <w:jc w:val="center"/>
            </w:pPr>
            <w:r>
              <w:rPr>
                <w:b/>
                <w:i w:val="0"/>
                <w:color w:val="1E7E52"/>
                <w:sz w:val="17"/>
              </w:rPr>
              <w:t>6.12%</w:t>
            </w:r>
          </w:p>
        </w:tc>
        <w:tc>
          <w:tcPr>
            <w:tcW w:type="dxa" w:w="1584"/>
          </w:tcPr>
          <w:p>
            <w:pPr>
              <w:jc w:val="center"/>
            </w:pPr>
            <w:r>
              <w:rPr>
                <w:b w:val="0"/>
                <w:i w:val="0"/>
                <w:color w:val="444444"/>
                <w:sz w:val="17"/>
              </w:rPr>
              <w:t>6.75 – 7.50%</w:t>
            </w:r>
          </w:p>
        </w:tc>
        <w:tc>
          <w:tcPr>
            <w:tcW w:type="dxa" w:w="1008"/>
          </w:tcPr>
          <w:p>
            <w:pPr>
              <w:jc w:val="center"/>
            </w:pPr>
            <w:r>
              <w:rPr>
                <w:b/>
                <w:i w:val="0"/>
                <w:color w:val="C05020"/>
                <w:sz w:val="17"/>
              </w:rPr>
              <w:t>7.12%</w:t>
            </w:r>
          </w:p>
        </w:tc>
        <w:tc>
          <w:tcPr>
            <w:tcW w:type="dxa" w:w="864"/>
          </w:tcPr>
          <w:p>
            <w:pPr>
              <w:jc w:val="center"/>
            </w:pPr>
            <w:r>
              <w:rPr>
                <w:b w:val="0"/>
                <w:i w:val="0"/>
                <w:color w:val="444444"/>
                <w:sz w:val="17"/>
              </w:rPr>
              <w:t>65%</w:t>
            </w:r>
          </w:p>
        </w:tc>
        <w:tc>
          <w:tcPr>
            <w:tcW w:type="dxa" w:w="864"/>
          </w:tcPr>
          <w:p>
            <w:pPr>
              <w:jc w:val="center"/>
            </w:pPr>
            <w:r>
              <w:rPr>
                <w:b w:val="0"/>
                <w:i w:val="0"/>
                <w:color w:val="444444"/>
                <w:sz w:val="17"/>
              </w:rPr>
              <w:t>25 yr</w:t>
            </w:r>
          </w:p>
        </w:tc>
      </w:tr>
    </w:tbl>
    <w:p>
      <w:pPr>
        <w:spacing w:after="80"/>
      </w:pPr>
    </w:p>
    <w:p>
      <w:pPr>
        <w:spacing w:after="40"/>
      </w:pPr>
      <w:r>
        <w:rPr>
          <w:b w:val="0"/>
          <w:i/>
          <w:color w:val="999999"/>
          <w:sz w:val="17"/>
        </w:rPr>
        <w:t>[ Chart — Average Cap Rate &amp; Interest Rate by Property Type ]</w:t>
      </w:r>
    </w:p>
    <w:p>
      <w:pPr>
        <w:spacing w:after="120"/>
      </w:pPr>
      <w:r>
        <w:rPr>
          <w:b w:val="0"/>
          <w:i w:val="0"/>
          <w:color w:val="666666"/>
          <w:sz w:val="17"/>
        </w:rPr>
        <w:t>Note: Cap Rate Avg (blue) and Interest Rate Avg (orange) are plotted per property type in the interactive HTML report. Cap rates reflect market-derived yields on stabilised income-producing properties; interest rates reflect typical permanent loan pricing.</w:t>
      </w:r>
    </w:p>
    <w:p>
      <w:r>
        <w:br w:type="page"/>
      </w:r>
    </w:p>
    <w:p>
      <w:pPr>
        <w:pStyle w:val="Heading1"/>
        <w:spacing w:after="120"/>
      </w:pPr>
      <w:r>
        <w:rPr>
          <w:color w:val="1A2A4A"/>
        </w:rPr>
        <w:t>Developer Survey — Subdivision &amp; Development Financing</w:t>
      </w:r>
    </w:p>
    <w:p>
      <w:pPr>
        <w:spacing w:before="40" w:after="120"/>
        <w:pBdr>
          <w:bottom w:val="single" w:sz="6" w:space="1" w:color="2E6DBF"/>
        </w:pBdr>
      </w:pPr>
    </w:p>
    <w:p>
      <w:pPr>
        <w:spacing w:after="160"/>
      </w:pPr>
      <w:r>
        <w:rPr>
          <w:b w:val="0"/>
          <w:i/>
          <w:color w:val="777777"/>
          <w:sz w:val="17"/>
        </w:rPr>
        <w:t>Source: RealtyRates.com Developer Survey  ·  Q4 2025</w:t>
      </w:r>
    </w:p>
    <w:p>
      <w:pPr>
        <w:spacing w:after="200"/>
      </w:pPr>
      <w:r>
        <w:rPr>
          <w:b w:val="0"/>
          <w:i w:val="0"/>
          <w:color w:val="444444"/>
          <w:sz w:val="19"/>
        </w:rPr>
        <w:t>The Developer Survey captures financing terms for residential and commercial development projects. Unlike stabilised commercial properties, development loans carry higher rates and tighter LTV constraints to compensate lenders for construction and absorption risk.</w:t>
      </w:r>
    </w:p>
    <w:p>
      <w:pPr>
        <w:pStyle w:val="Heading2"/>
        <w:spacing w:after="60"/>
      </w:pPr>
      <w:r>
        <w:rPr>
          <w:color w:val="2E6DBF"/>
          <w:sz w:val="24"/>
        </w:rPr>
        <w:t>Subdivisions &amp; PUDs</w:t>
      </w:r>
    </w:p>
    <w:p>
      <w:pPr>
        <w:spacing w:after="80"/>
      </w:pPr>
      <w:r>
        <w:rPr>
          <w:b w:val="0"/>
          <w:i/>
          <w:color w:val="444444"/>
          <w:sz w:val="18"/>
        </w:rPr>
        <w:t>Residential land subdivisions and Planned Unit Developments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shd w:val="clear" w:color="auto" w:fill="D6E4F7"/>
          </w:tcPr>
          <w:p>
            <w:pPr>
              <w:jc w:val="left"/>
            </w:pPr>
            <w:r>
              <w:rPr>
                <w:b/>
                <w:i w:val="0"/>
                <w:color w:val="2E6DBF"/>
                <w:sz w:val="18"/>
              </w:rPr>
              <w:t>Metric</w:t>
            </w:r>
          </w:p>
        </w:tc>
        <w:tc>
          <w:tcPr>
            <w:tcW w:type="dxa" w:w="1728"/>
            <w:shd w:val="clear" w:color="auto" w:fill="D6E4F7"/>
          </w:tcPr>
          <w:p>
            <w:pPr>
              <w:jc w:val="center"/>
            </w:pPr>
            <w:r>
              <w:rPr>
                <w:b/>
                <w:i w:val="0"/>
                <w:color w:val="2E6DBF"/>
                <w:sz w:val="18"/>
              </w:rPr>
              <w:t>Low</w:t>
            </w:r>
          </w:p>
        </w:tc>
        <w:tc>
          <w:tcPr>
            <w:tcW w:type="dxa" w:w="1728"/>
            <w:shd w:val="clear" w:color="auto" w:fill="D6E4F7"/>
          </w:tcPr>
          <w:p>
            <w:pPr>
              <w:jc w:val="center"/>
            </w:pPr>
            <w:r>
              <w:rPr>
                <w:b/>
                <w:i w:val="0"/>
                <w:color w:val="2E6DBF"/>
                <w:sz w:val="18"/>
              </w:rPr>
              <w:t>High</w:t>
            </w:r>
          </w:p>
        </w:tc>
        <w:tc>
          <w:tcPr>
            <w:tcW w:type="dxa" w:w="1584"/>
            <w:shd w:val="clear" w:color="auto" w:fill="D6E4F7"/>
          </w:tcPr>
          <w:p>
            <w:pPr>
              <w:jc w:val="center"/>
            </w:pPr>
            <w:r>
              <w:rPr>
                <w:b/>
                <w:i w:val="0"/>
                <w:color w:val="2E6DBF"/>
                <w:sz w:val="18"/>
              </w:rPr>
              <w:t>Average</w:t>
            </w:r>
          </w:p>
        </w:tc>
      </w:tr>
      <w:tr>
        <w:tc>
          <w:tcPr>
            <w:tcW w:type="dxa" w:w="3600"/>
          </w:tcPr>
          <w:p>
            <w:pPr>
              <w:jc w:val="left"/>
            </w:pPr>
            <w:r>
              <w:rPr>
                <w:b w:val="0"/>
                <w:i w:val="0"/>
                <w:color w:val="444444"/>
                <w:sz w:val="18"/>
              </w:rPr>
              <w:t>Land Acquisition Loan Rate</w:t>
            </w:r>
          </w:p>
        </w:tc>
        <w:tc>
          <w:tcPr>
            <w:tcW w:type="dxa" w:w="1728"/>
          </w:tcPr>
          <w:p>
            <w:pPr>
              <w:jc w:val="center"/>
            </w:pPr>
            <w:r>
              <w:rPr>
                <w:b w:val="0"/>
                <w:i w:val="0"/>
                <w:color w:val="444444"/>
                <w:sz w:val="18"/>
              </w:rPr>
              <w:t>7.5%</w:t>
            </w:r>
          </w:p>
        </w:tc>
        <w:tc>
          <w:tcPr>
            <w:tcW w:type="dxa" w:w="1728"/>
          </w:tcPr>
          <w:p>
            <w:pPr>
              <w:jc w:val="center"/>
            </w:pPr>
            <w:r>
              <w:rPr>
                <w:b w:val="0"/>
                <w:i w:val="0"/>
                <w:color w:val="444444"/>
                <w:sz w:val="18"/>
              </w:rPr>
              <w:t>9.5%</w:t>
            </w:r>
          </w:p>
        </w:tc>
        <w:tc>
          <w:tcPr>
            <w:tcW w:type="dxa" w:w="1584"/>
          </w:tcPr>
          <w:p>
            <w:pPr>
              <w:jc w:val="center"/>
            </w:pPr>
            <w:r>
              <w:rPr>
                <w:b/>
                <w:i w:val="0"/>
                <w:color w:val="1E7E52"/>
                <w:sz w:val="18"/>
              </w:rPr>
              <w:t>8.5%</w:t>
            </w:r>
          </w:p>
        </w:tc>
      </w:tr>
      <w:tr>
        <w:tc>
          <w:tcPr>
            <w:tcW w:type="dxa" w:w="3600"/>
            <w:shd w:val="clear" w:color="auto" w:fill="F2F4F8"/>
          </w:tcPr>
          <w:p>
            <w:pPr>
              <w:jc w:val="left"/>
            </w:pPr>
            <w:r>
              <w:rPr>
                <w:b w:val="0"/>
                <w:i w:val="0"/>
                <w:color w:val="444444"/>
                <w:sz w:val="18"/>
              </w:rPr>
              <w:t>Construction/Development Loan Rate</w:t>
            </w:r>
          </w:p>
        </w:tc>
        <w:tc>
          <w:tcPr>
            <w:tcW w:type="dxa" w:w="1728"/>
            <w:shd w:val="clear" w:color="auto" w:fill="F2F4F8"/>
          </w:tcPr>
          <w:p>
            <w:pPr>
              <w:jc w:val="center"/>
            </w:pPr>
            <w:r>
              <w:rPr>
                <w:b w:val="0"/>
                <w:i w:val="0"/>
                <w:color w:val="444444"/>
                <w:sz w:val="18"/>
              </w:rPr>
              <w:t>7.75%</w:t>
            </w:r>
          </w:p>
        </w:tc>
        <w:tc>
          <w:tcPr>
            <w:tcW w:type="dxa" w:w="1728"/>
            <w:shd w:val="clear" w:color="auto" w:fill="F2F4F8"/>
          </w:tcPr>
          <w:p>
            <w:pPr>
              <w:jc w:val="center"/>
            </w:pPr>
            <w:r>
              <w:rPr>
                <w:b w:val="0"/>
                <w:i w:val="0"/>
                <w:color w:val="444444"/>
                <w:sz w:val="18"/>
              </w:rPr>
              <w:t>9.75%</w:t>
            </w:r>
          </w:p>
        </w:tc>
        <w:tc>
          <w:tcPr>
            <w:tcW w:type="dxa" w:w="1584"/>
            <w:shd w:val="clear" w:color="auto" w:fill="F2F4F8"/>
          </w:tcPr>
          <w:p>
            <w:pPr>
              <w:jc w:val="center"/>
            </w:pPr>
            <w:r>
              <w:rPr>
                <w:b/>
                <w:i w:val="0"/>
                <w:color w:val="1E7E52"/>
                <w:sz w:val="18"/>
              </w:rPr>
              <w:t>8.75%</w:t>
            </w:r>
          </w:p>
        </w:tc>
      </w:tr>
      <w:tr>
        <w:tc>
          <w:tcPr>
            <w:tcW w:type="dxa" w:w="3600"/>
          </w:tcPr>
          <w:p>
            <w:pPr>
              <w:jc w:val="left"/>
            </w:pPr>
            <w:r>
              <w:rPr>
                <w:b w:val="0"/>
                <w:i w:val="0"/>
                <w:color w:val="444444"/>
                <w:sz w:val="18"/>
              </w:rPr>
              <w:t>Max LTV - Land</w:t>
            </w:r>
          </w:p>
        </w:tc>
        <w:tc>
          <w:tcPr>
            <w:tcW w:type="dxa" w:w="1728"/>
          </w:tcPr>
          <w:p>
            <w:pPr>
              <w:jc w:val="center"/>
            </w:pPr>
            <w:r>
              <w:rPr>
                <w:b w:val="0"/>
                <w:i w:val="0"/>
                <w:color w:val="444444"/>
                <w:sz w:val="18"/>
              </w:rPr>
              <w:t>50.0%</w:t>
            </w:r>
          </w:p>
        </w:tc>
        <w:tc>
          <w:tcPr>
            <w:tcW w:type="dxa" w:w="1728"/>
          </w:tcPr>
          <w:p>
            <w:pPr>
              <w:jc w:val="center"/>
            </w:pPr>
            <w:r>
              <w:rPr>
                <w:b w:val="0"/>
                <w:i w:val="0"/>
                <w:color w:val="444444"/>
                <w:sz w:val="18"/>
              </w:rPr>
              <w:t>65.0%</w:t>
            </w:r>
          </w:p>
        </w:tc>
        <w:tc>
          <w:tcPr>
            <w:tcW w:type="dxa" w:w="1584"/>
          </w:tcPr>
          <w:p>
            <w:pPr>
              <w:jc w:val="center"/>
            </w:pPr>
            <w:r>
              <w:rPr>
                <w:b/>
                <w:i w:val="0"/>
                <w:color w:val="1E7E52"/>
                <w:sz w:val="18"/>
              </w:rPr>
              <w:t>57.5%</w:t>
            </w:r>
          </w:p>
        </w:tc>
      </w:tr>
      <w:tr>
        <w:tc>
          <w:tcPr>
            <w:tcW w:type="dxa" w:w="3600"/>
            <w:shd w:val="clear" w:color="auto" w:fill="F2F4F8"/>
          </w:tcPr>
          <w:p>
            <w:pPr>
              <w:jc w:val="left"/>
            </w:pPr>
            <w:r>
              <w:rPr>
                <w:b w:val="0"/>
                <w:i w:val="0"/>
                <w:color w:val="444444"/>
                <w:sz w:val="18"/>
              </w:rPr>
              <w:t>Max LTV - Construction</w:t>
            </w:r>
          </w:p>
        </w:tc>
        <w:tc>
          <w:tcPr>
            <w:tcW w:type="dxa" w:w="1728"/>
            <w:shd w:val="clear" w:color="auto" w:fill="F2F4F8"/>
          </w:tcPr>
          <w:p>
            <w:pPr>
              <w:jc w:val="center"/>
            </w:pPr>
            <w:r>
              <w:rPr>
                <w:b w:val="0"/>
                <w:i w:val="0"/>
                <w:color w:val="444444"/>
                <w:sz w:val="18"/>
              </w:rPr>
              <w:t>60.0%</w:t>
            </w:r>
          </w:p>
        </w:tc>
        <w:tc>
          <w:tcPr>
            <w:tcW w:type="dxa" w:w="1728"/>
            <w:shd w:val="clear" w:color="auto" w:fill="F2F4F8"/>
          </w:tcPr>
          <w:p>
            <w:pPr>
              <w:jc w:val="center"/>
            </w:pPr>
            <w:r>
              <w:rPr>
                <w:b w:val="0"/>
                <w:i w:val="0"/>
                <w:color w:val="444444"/>
                <w:sz w:val="18"/>
              </w:rPr>
              <w:t>75.0%</w:t>
            </w:r>
          </w:p>
        </w:tc>
        <w:tc>
          <w:tcPr>
            <w:tcW w:type="dxa" w:w="1584"/>
            <w:shd w:val="clear" w:color="auto" w:fill="F2F4F8"/>
          </w:tcPr>
          <w:p>
            <w:pPr>
              <w:jc w:val="center"/>
            </w:pPr>
            <w:r>
              <w:rPr>
                <w:b/>
                <w:i w:val="0"/>
                <w:color w:val="1E7E52"/>
                <w:sz w:val="18"/>
              </w:rPr>
              <w:t>67.5%</w:t>
            </w:r>
          </w:p>
        </w:tc>
      </w:tr>
      <w:tr>
        <w:tc>
          <w:tcPr>
            <w:tcW w:type="dxa" w:w="3600"/>
          </w:tcPr>
          <w:p>
            <w:pPr>
              <w:jc w:val="left"/>
            </w:pPr>
            <w:r>
              <w:rPr>
                <w:b w:val="0"/>
                <w:i w:val="0"/>
                <w:color w:val="444444"/>
                <w:sz w:val="18"/>
              </w:rPr>
              <w:t>Absorption Rate</w:t>
            </w:r>
          </w:p>
        </w:tc>
        <w:tc>
          <w:tcPr>
            <w:tcW w:type="dxa" w:w="1728"/>
          </w:tcPr>
          <w:p>
            <w:pPr>
              <w:jc w:val="center"/>
            </w:pPr>
            <w:r>
              <w:rPr>
                <w:b w:val="0"/>
                <w:i w:val="0"/>
                <w:color w:val="444444"/>
                <w:sz w:val="18"/>
              </w:rPr>
              <w:t>6.0 lots/month</w:t>
            </w:r>
          </w:p>
        </w:tc>
        <w:tc>
          <w:tcPr>
            <w:tcW w:type="dxa" w:w="1728"/>
          </w:tcPr>
          <w:p>
            <w:pPr>
              <w:jc w:val="center"/>
            </w:pPr>
            <w:r>
              <w:rPr>
                <w:b w:val="0"/>
                <w:i w:val="0"/>
                <w:color w:val="444444"/>
                <w:sz w:val="18"/>
              </w:rPr>
              <w:t>18.0 lots/month</w:t>
            </w:r>
          </w:p>
        </w:tc>
        <w:tc>
          <w:tcPr>
            <w:tcW w:type="dxa" w:w="1584"/>
          </w:tcPr>
          <w:p>
            <w:pPr>
              <w:jc w:val="center"/>
            </w:pPr>
            <w:r>
              <w:rPr>
                <w:b/>
                <w:i w:val="0"/>
                <w:color w:val="1E7E52"/>
                <w:sz w:val="18"/>
              </w:rPr>
              <w:t>12.0 lots/month</w:t>
            </w:r>
          </w:p>
        </w:tc>
      </w:tr>
      <w:tr>
        <w:tc>
          <w:tcPr>
            <w:tcW w:type="dxa" w:w="3600"/>
            <w:shd w:val="clear" w:color="auto" w:fill="F2F4F8"/>
          </w:tcPr>
          <w:p>
            <w:pPr>
              <w:jc w:val="left"/>
            </w:pPr>
            <w:r>
              <w:rPr>
                <w:b w:val="0"/>
                <w:i w:val="0"/>
                <w:color w:val="444444"/>
                <w:sz w:val="18"/>
              </w:rPr>
              <w:t>Equity Requirement</w:t>
            </w:r>
          </w:p>
        </w:tc>
        <w:tc>
          <w:tcPr>
            <w:tcW w:type="dxa" w:w="1728"/>
            <w:shd w:val="clear" w:color="auto" w:fill="F2F4F8"/>
          </w:tcPr>
          <w:p>
            <w:pPr>
              <w:jc w:val="center"/>
            </w:pPr>
            <w:r>
              <w:rPr>
                <w:b w:val="0"/>
                <w:i w:val="0"/>
                <w:color w:val="444444"/>
                <w:sz w:val="18"/>
              </w:rPr>
              <w:t>25.0%</w:t>
            </w:r>
          </w:p>
        </w:tc>
        <w:tc>
          <w:tcPr>
            <w:tcW w:type="dxa" w:w="1728"/>
            <w:shd w:val="clear" w:color="auto" w:fill="F2F4F8"/>
          </w:tcPr>
          <w:p>
            <w:pPr>
              <w:jc w:val="center"/>
            </w:pPr>
            <w:r>
              <w:rPr>
                <w:b w:val="0"/>
                <w:i w:val="0"/>
                <w:color w:val="444444"/>
                <w:sz w:val="18"/>
              </w:rPr>
              <w:t>40.0%</w:t>
            </w:r>
          </w:p>
        </w:tc>
        <w:tc>
          <w:tcPr>
            <w:tcW w:type="dxa" w:w="1584"/>
            <w:shd w:val="clear" w:color="auto" w:fill="F2F4F8"/>
          </w:tcPr>
          <w:p>
            <w:pPr>
              <w:jc w:val="center"/>
            </w:pPr>
            <w:r>
              <w:rPr>
                <w:b/>
                <w:i w:val="0"/>
                <w:color w:val="1E7E52"/>
                <w:sz w:val="18"/>
              </w:rPr>
              <w:t>32.5%</w:t>
            </w:r>
          </w:p>
        </w:tc>
      </w:tr>
      <w:tr>
        <w:tc>
          <w:tcPr>
            <w:tcW w:type="dxa" w:w="3600"/>
          </w:tcPr>
          <w:p>
            <w:pPr>
              <w:jc w:val="left"/>
            </w:pPr>
            <w:r>
              <w:rPr>
                <w:b w:val="0"/>
                <w:i w:val="0"/>
                <w:color w:val="444444"/>
                <w:sz w:val="18"/>
              </w:rPr>
              <w:t>Origination Fee</w:t>
            </w:r>
          </w:p>
        </w:tc>
        <w:tc>
          <w:tcPr>
            <w:tcW w:type="dxa" w:w="1728"/>
          </w:tcPr>
          <w:p>
            <w:pPr>
              <w:jc w:val="center"/>
            </w:pPr>
            <w:r>
              <w:rPr>
                <w:b w:val="0"/>
                <w:i w:val="0"/>
                <w:color w:val="444444"/>
                <w:sz w:val="18"/>
              </w:rPr>
              <w:t>1.0 points</w:t>
            </w:r>
          </w:p>
        </w:tc>
        <w:tc>
          <w:tcPr>
            <w:tcW w:type="dxa" w:w="1728"/>
          </w:tcPr>
          <w:p>
            <w:pPr>
              <w:jc w:val="center"/>
            </w:pPr>
            <w:r>
              <w:rPr>
                <w:b w:val="0"/>
                <w:i w:val="0"/>
                <w:color w:val="444444"/>
                <w:sz w:val="18"/>
              </w:rPr>
              <w:t>2.5 points</w:t>
            </w:r>
          </w:p>
        </w:tc>
        <w:tc>
          <w:tcPr>
            <w:tcW w:type="dxa" w:w="1584"/>
          </w:tcPr>
          <w:p>
            <w:pPr>
              <w:jc w:val="center"/>
            </w:pPr>
            <w:r>
              <w:rPr>
                <w:b/>
                <w:i w:val="0"/>
                <w:color w:val="1E7E52"/>
                <w:sz w:val="18"/>
              </w:rPr>
              <w:t>1.75 points</w:t>
            </w:r>
          </w:p>
        </w:tc>
      </w:tr>
    </w:tbl>
    <w:p>
      <w:pPr>
        <w:spacing w:after="160"/>
      </w:pPr>
    </w:p>
    <w:p>
      <w:pPr>
        <w:pStyle w:val="Heading2"/>
        <w:spacing w:after="60"/>
      </w:pPr>
      <w:r>
        <w:rPr>
          <w:color w:val="2E6DBF"/>
          <w:sz w:val="24"/>
        </w:rPr>
        <w:t>Condominiums</w:t>
      </w:r>
    </w:p>
    <w:p>
      <w:pPr>
        <w:spacing w:after="80"/>
      </w:pPr>
      <w:r>
        <w:rPr>
          <w:b w:val="0"/>
          <w:i/>
          <w:color w:val="444444"/>
          <w:sz w:val="18"/>
        </w:rPr>
        <w:t>Condominium development projects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shd w:val="clear" w:color="auto" w:fill="D6E4F7"/>
          </w:tcPr>
          <w:p>
            <w:pPr>
              <w:jc w:val="left"/>
            </w:pPr>
            <w:r>
              <w:rPr>
                <w:b/>
                <w:i w:val="0"/>
                <w:color w:val="2E6DBF"/>
                <w:sz w:val="18"/>
              </w:rPr>
              <w:t>Metric</w:t>
            </w:r>
          </w:p>
        </w:tc>
        <w:tc>
          <w:tcPr>
            <w:tcW w:type="dxa" w:w="1728"/>
            <w:shd w:val="clear" w:color="auto" w:fill="D6E4F7"/>
          </w:tcPr>
          <w:p>
            <w:pPr>
              <w:jc w:val="center"/>
            </w:pPr>
            <w:r>
              <w:rPr>
                <w:b/>
                <w:i w:val="0"/>
                <w:color w:val="2E6DBF"/>
                <w:sz w:val="18"/>
              </w:rPr>
              <w:t>Low</w:t>
            </w:r>
          </w:p>
        </w:tc>
        <w:tc>
          <w:tcPr>
            <w:tcW w:type="dxa" w:w="1728"/>
            <w:shd w:val="clear" w:color="auto" w:fill="D6E4F7"/>
          </w:tcPr>
          <w:p>
            <w:pPr>
              <w:jc w:val="center"/>
            </w:pPr>
            <w:r>
              <w:rPr>
                <w:b/>
                <w:i w:val="0"/>
                <w:color w:val="2E6DBF"/>
                <w:sz w:val="18"/>
              </w:rPr>
              <w:t>High</w:t>
            </w:r>
          </w:p>
        </w:tc>
        <w:tc>
          <w:tcPr>
            <w:tcW w:type="dxa" w:w="1584"/>
            <w:shd w:val="clear" w:color="auto" w:fill="D6E4F7"/>
          </w:tcPr>
          <w:p>
            <w:pPr>
              <w:jc w:val="center"/>
            </w:pPr>
            <w:r>
              <w:rPr>
                <w:b/>
                <w:i w:val="0"/>
                <w:color w:val="2E6DBF"/>
                <w:sz w:val="18"/>
              </w:rPr>
              <w:t>Average</w:t>
            </w:r>
          </w:p>
        </w:tc>
      </w:tr>
      <w:tr>
        <w:tc>
          <w:tcPr>
            <w:tcW w:type="dxa" w:w="3600"/>
          </w:tcPr>
          <w:p>
            <w:pPr>
              <w:jc w:val="left"/>
            </w:pPr>
            <w:r>
              <w:rPr>
                <w:b w:val="0"/>
                <w:i w:val="0"/>
                <w:color w:val="444444"/>
                <w:sz w:val="18"/>
              </w:rPr>
              <w:t>Land Acquisition Loan Rate</w:t>
            </w:r>
          </w:p>
        </w:tc>
        <w:tc>
          <w:tcPr>
            <w:tcW w:type="dxa" w:w="1728"/>
          </w:tcPr>
          <w:p>
            <w:pPr>
              <w:jc w:val="center"/>
            </w:pPr>
            <w:r>
              <w:rPr>
                <w:b w:val="0"/>
                <w:i w:val="0"/>
                <w:color w:val="444444"/>
                <w:sz w:val="18"/>
              </w:rPr>
              <w:t>7.25%</w:t>
            </w:r>
          </w:p>
        </w:tc>
        <w:tc>
          <w:tcPr>
            <w:tcW w:type="dxa" w:w="1728"/>
          </w:tcPr>
          <w:p>
            <w:pPr>
              <w:jc w:val="center"/>
            </w:pPr>
            <w:r>
              <w:rPr>
                <w:b w:val="0"/>
                <w:i w:val="0"/>
                <w:color w:val="444444"/>
                <w:sz w:val="18"/>
              </w:rPr>
              <w:t>9.25%</w:t>
            </w:r>
          </w:p>
        </w:tc>
        <w:tc>
          <w:tcPr>
            <w:tcW w:type="dxa" w:w="1584"/>
          </w:tcPr>
          <w:p>
            <w:pPr>
              <w:jc w:val="center"/>
            </w:pPr>
            <w:r>
              <w:rPr>
                <w:b/>
                <w:i w:val="0"/>
                <w:color w:val="1E7E52"/>
                <w:sz w:val="18"/>
              </w:rPr>
              <w:t>8.25%</w:t>
            </w:r>
          </w:p>
        </w:tc>
      </w:tr>
      <w:tr>
        <w:tc>
          <w:tcPr>
            <w:tcW w:type="dxa" w:w="3600"/>
            <w:shd w:val="clear" w:color="auto" w:fill="F2F4F8"/>
          </w:tcPr>
          <w:p>
            <w:pPr>
              <w:jc w:val="left"/>
            </w:pPr>
            <w:r>
              <w:rPr>
                <w:b w:val="0"/>
                <w:i w:val="0"/>
                <w:color w:val="444444"/>
                <w:sz w:val="18"/>
              </w:rPr>
              <w:t>Construction Loan Rate</w:t>
            </w:r>
          </w:p>
        </w:tc>
        <w:tc>
          <w:tcPr>
            <w:tcW w:type="dxa" w:w="1728"/>
            <w:shd w:val="clear" w:color="auto" w:fill="F2F4F8"/>
          </w:tcPr>
          <w:p>
            <w:pPr>
              <w:jc w:val="center"/>
            </w:pPr>
            <w:r>
              <w:rPr>
                <w:b w:val="0"/>
                <w:i w:val="0"/>
                <w:color w:val="444444"/>
                <w:sz w:val="18"/>
              </w:rPr>
              <w:t>7.5%</w:t>
            </w:r>
          </w:p>
        </w:tc>
        <w:tc>
          <w:tcPr>
            <w:tcW w:type="dxa" w:w="1728"/>
            <w:shd w:val="clear" w:color="auto" w:fill="F2F4F8"/>
          </w:tcPr>
          <w:p>
            <w:pPr>
              <w:jc w:val="center"/>
            </w:pPr>
            <w:r>
              <w:rPr>
                <w:b w:val="0"/>
                <w:i w:val="0"/>
                <w:color w:val="444444"/>
                <w:sz w:val="18"/>
              </w:rPr>
              <w:t>9.5%</w:t>
            </w:r>
          </w:p>
        </w:tc>
        <w:tc>
          <w:tcPr>
            <w:tcW w:type="dxa" w:w="1584"/>
            <w:shd w:val="clear" w:color="auto" w:fill="F2F4F8"/>
          </w:tcPr>
          <w:p>
            <w:pPr>
              <w:jc w:val="center"/>
            </w:pPr>
            <w:r>
              <w:rPr>
                <w:b/>
                <w:i w:val="0"/>
                <w:color w:val="1E7E52"/>
                <w:sz w:val="18"/>
              </w:rPr>
              <w:t>8.5%</w:t>
            </w:r>
          </w:p>
        </w:tc>
      </w:tr>
      <w:tr>
        <w:tc>
          <w:tcPr>
            <w:tcW w:type="dxa" w:w="3600"/>
          </w:tcPr>
          <w:p>
            <w:pPr>
              <w:jc w:val="left"/>
            </w:pPr>
            <w:r>
              <w:rPr>
                <w:b w:val="0"/>
                <w:i w:val="0"/>
                <w:color w:val="444444"/>
                <w:sz w:val="18"/>
              </w:rPr>
              <w:t>Max LTV - Land</w:t>
            </w:r>
          </w:p>
        </w:tc>
        <w:tc>
          <w:tcPr>
            <w:tcW w:type="dxa" w:w="1728"/>
          </w:tcPr>
          <w:p>
            <w:pPr>
              <w:jc w:val="center"/>
            </w:pPr>
            <w:r>
              <w:rPr>
                <w:b w:val="0"/>
                <w:i w:val="0"/>
                <w:color w:val="444444"/>
                <w:sz w:val="18"/>
              </w:rPr>
              <w:t>55.0%</w:t>
            </w:r>
          </w:p>
        </w:tc>
        <w:tc>
          <w:tcPr>
            <w:tcW w:type="dxa" w:w="1728"/>
          </w:tcPr>
          <w:p>
            <w:pPr>
              <w:jc w:val="center"/>
            </w:pPr>
            <w:r>
              <w:rPr>
                <w:b w:val="0"/>
                <w:i w:val="0"/>
                <w:color w:val="444444"/>
                <w:sz w:val="18"/>
              </w:rPr>
              <w:t>70.0%</w:t>
            </w:r>
          </w:p>
        </w:tc>
        <w:tc>
          <w:tcPr>
            <w:tcW w:type="dxa" w:w="1584"/>
          </w:tcPr>
          <w:p>
            <w:pPr>
              <w:jc w:val="center"/>
            </w:pPr>
            <w:r>
              <w:rPr>
                <w:b/>
                <w:i w:val="0"/>
                <w:color w:val="1E7E52"/>
                <w:sz w:val="18"/>
              </w:rPr>
              <w:t>62.5%</w:t>
            </w:r>
          </w:p>
        </w:tc>
      </w:tr>
      <w:tr>
        <w:tc>
          <w:tcPr>
            <w:tcW w:type="dxa" w:w="3600"/>
            <w:shd w:val="clear" w:color="auto" w:fill="F2F4F8"/>
          </w:tcPr>
          <w:p>
            <w:pPr>
              <w:jc w:val="left"/>
            </w:pPr>
            <w:r>
              <w:rPr>
                <w:b w:val="0"/>
                <w:i w:val="0"/>
                <w:color w:val="444444"/>
                <w:sz w:val="18"/>
              </w:rPr>
              <w:t>Max LTV - Construction</w:t>
            </w:r>
          </w:p>
        </w:tc>
        <w:tc>
          <w:tcPr>
            <w:tcW w:type="dxa" w:w="1728"/>
            <w:shd w:val="clear" w:color="auto" w:fill="F2F4F8"/>
          </w:tcPr>
          <w:p>
            <w:pPr>
              <w:jc w:val="center"/>
            </w:pPr>
            <w:r>
              <w:rPr>
                <w:b w:val="0"/>
                <w:i w:val="0"/>
                <w:color w:val="444444"/>
                <w:sz w:val="18"/>
              </w:rPr>
              <w:t>65.0%</w:t>
            </w:r>
          </w:p>
        </w:tc>
        <w:tc>
          <w:tcPr>
            <w:tcW w:type="dxa" w:w="1728"/>
            <w:shd w:val="clear" w:color="auto" w:fill="F2F4F8"/>
          </w:tcPr>
          <w:p>
            <w:pPr>
              <w:jc w:val="center"/>
            </w:pPr>
            <w:r>
              <w:rPr>
                <w:b w:val="0"/>
                <w:i w:val="0"/>
                <w:color w:val="444444"/>
                <w:sz w:val="18"/>
              </w:rPr>
              <w:t>75.0%</w:t>
            </w:r>
          </w:p>
        </w:tc>
        <w:tc>
          <w:tcPr>
            <w:tcW w:type="dxa" w:w="1584"/>
            <w:shd w:val="clear" w:color="auto" w:fill="F2F4F8"/>
          </w:tcPr>
          <w:p>
            <w:pPr>
              <w:jc w:val="center"/>
            </w:pPr>
            <w:r>
              <w:rPr>
                <w:b/>
                <w:i w:val="0"/>
                <w:color w:val="1E7E52"/>
                <w:sz w:val="18"/>
              </w:rPr>
              <w:t>70.0%</w:t>
            </w:r>
          </w:p>
        </w:tc>
      </w:tr>
      <w:tr>
        <w:tc>
          <w:tcPr>
            <w:tcW w:type="dxa" w:w="3600"/>
          </w:tcPr>
          <w:p>
            <w:pPr>
              <w:jc w:val="left"/>
            </w:pPr>
            <w:r>
              <w:rPr>
                <w:b w:val="0"/>
                <w:i w:val="0"/>
                <w:color w:val="444444"/>
                <w:sz w:val="18"/>
              </w:rPr>
              <w:t>Pre-Sale Requirement</w:t>
            </w:r>
          </w:p>
        </w:tc>
        <w:tc>
          <w:tcPr>
            <w:tcW w:type="dxa" w:w="1728"/>
          </w:tcPr>
          <w:p>
            <w:pPr>
              <w:jc w:val="center"/>
            </w:pPr>
            <w:r>
              <w:rPr>
                <w:b w:val="0"/>
                <w:i w:val="0"/>
                <w:color w:val="444444"/>
                <w:sz w:val="18"/>
              </w:rPr>
              <w:t>20.0 % of units</w:t>
            </w:r>
          </w:p>
        </w:tc>
        <w:tc>
          <w:tcPr>
            <w:tcW w:type="dxa" w:w="1728"/>
          </w:tcPr>
          <w:p>
            <w:pPr>
              <w:jc w:val="center"/>
            </w:pPr>
            <w:r>
              <w:rPr>
                <w:b w:val="0"/>
                <w:i w:val="0"/>
                <w:color w:val="444444"/>
                <w:sz w:val="18"/>
              </w:rPr>
              <w:t>40.0 % of units</w:t>
            </w:r>
          </w:p>
        </w:tc>
        <w:tc>
          <w:tcPr>
            <w:tcW w:type="dxa" w:w="1584"/>
          </w:tcPr>
          <w:p>
            <w:pPr>
              <w:jc w:val="center"/>
            </w:pPr>
            <w:r>
              <w:rPr>
                <w:b/>
                <w:i w:val="0"/>
                <w:color w:val="1E7E52"/>
                <w:sz w:val="18"/>
              </w:rPr>
              <w:t>30.0 % of units</w:t>
            </w:r>
          </w:p>
        </w:tc>
      </w:tr>
      <w:tr>
        <w:tc>
          <w:tcPr>
            <w:tcW w:type="dxa" w:w="3600"/>
            <w:shd w:val="clear" w:color="auto" w:fill="F2F4F8"/>
          </w:tcPr>
          <w:p>
            <w:pPr>
              <w:jc w:val="left"/>
            </w:pPr>
            <w:r>
              <w:rPr>
                <w:b w:val="0"/>
                <w:i w:val="0"/>
                <w:color w:val="444444"/>
                <w:sz w:val="18"/>
              </w:rPr>
              <w:t>Equity Requirement</w:t>
            </w:r>
          </w:p>
        </w:tc>
        <w:tc>
          <w:tcPr>
            <w:tcW w:type="dxa" w:w="1728"/>
            <w:shd w:val="clear" w:color="auto" w:fill="F2F4F8"/>
          </w:tcPr>
          <w:p>
            <w:pPr>
              <w:jc w:val="center"/>
            </w:pPr>
            <w:r>
              <w:rPr>
                <w:b w:val="0"/>
                <w:i w:val="0"/>
                <w:color w:val="444444"/>
                <w:sz w:val="18"/>
              </w:rPr>
              <w:t>20.0%</w:t>
            </w:r>
          </w:p>
        </w:tc>
        <w:tc>
          <w:tcPr>
            <w:tcW w:type="dxa" w:w="1728"/>
            <w:shd w:val="clear" w:color="auto" w:fill="F2F4F8"/>
          </w:tcPr>
          <w:p>
            <w:pPr>
              <w:jc w:val="center"/>
            </w:pPr>
            <w:r>
              <w:rPr>
                <w:b w:val="0"/>
                <w:i w:val="0"/>
                <w:color w:val="444444"/>
                <w:sz w:val="18"/>
              </w:rPr>
              <w:t>35.0%</w:t>
            </w:r>
          </w:p>
        </w:tc>
        <w:tc>
          <w:tcPr>
            <w:tcW w:type="dxa" w:w="1584"/>
            <w:shd w:val="clear" w:color="auto" w:fill="F2F4F8"/>
          </w:tcPr>
          <w:p>
            <w:pPr>
              <w:jc w:val="center"/>
            </w:pPr>
            <w:r>
              <w:rPr>
                <w:b/>
                <w:i w:val="0"/>
                <w:color w:val="1E7E52"/>
                <w:sz w:val="18"/>
              </w:rPr>
              <w:t>27.5%</w:t>
            </w:r>
          </w:p>
        </w:tc>
      </w:tr>
      <w:tr>
        <w:tc>
          <w:tcPr>
            <w:tcW w:type="dxa" w:w="3600"/>
          </w:tcPr>
          <w:p>
            <w:pPr>
              <w:jc w:val="left"/>
            </w:pPr>
            <w:r>
              <w:rPr>
                <w:b w:val="0"/>
                <w:i w:val="0"/>
                <w:color w:val="444444"/>
                <w:sz w:val="18"/>
              </w:rPr>
              <w:t>Origination Fee</w:t>
            </w:r>
          </w:p>
        </w:tc>
        <w:tc>
          <w:tcPr>
            <w:tcW w:type="dxa" w:w="1728"/>
          </w:tcPr>
          <w:p>
            <w:pPr>
              <w:jc w:val="center"/>
            </w:pPr>
            <w:r>
              <w:rPr>
                <w:b w:val="0"/>
                <w:i w:val="0"/>
                <w:color w:val="444444"/>
                <w:sz w:val="18"/>
              </w:rPr>
              <w:t>1.0 points</w:t>
            </w:r>
          </w:p>
        </w:tc>
        <w:tc>
          <w:tcPr>
            <w:tcW w:type="dxa" w:w="1728"/>
          </w:tcPr>
          <w:p>
            <w:pPr>
              <w:jc w:val="center"/>
            </w:pPr>
            <w:r>
              <w:rPr>
                <w:b w:val="0"/>
                <w:i w:val="0"/>
                <w:color w:val="444444"/>
                <w:sz w:val="18"/>
              </w:rPr>
              <w:t>2.0 points</w:t>
            </w:r>
          </w:p>
        </w:tc>
        <w:tc>
          <w:tcPr>
            <w:tcW w:type="dxa" w:w="1584"/>
          </w:tcPr>
          <w:p>
            <w:pPr>
              <w:jc w:val="center"/>
            </w:pPr>
            <w:r>
              <w:rPr>
                <w:b/>
                <w:i w:val="0"/>
                <w:color w:val="1E7E52"/>
                <w:sz w:val="18"/>
              </w:rPr>
              <w:t>1.5 points</w:t>
            </w:r>
          </w:p>
        </w:tc>
      </w:tr>
    </w:tbl>
    <w:p>
      <w:pPr>
        <w:spacing w:after="160"/>
      </w:pPr>
    </w:p>
    <w:p>
      <w:pPr>
        <w:pStyle w:val="Heading2"/>
        <w:spacing w:after="60"/>
      </w:pPr>
      <w:r>
        <w:rPr>
          <w:color w:val="2E6DBF"/>
          <w:sz w:val="24"/>
        </w:rPr>
        <w:t>Business/Industrial Parks</w:t>
      </w:r>
    </w:p>
    <w:p>
      <w:pPr>
        <w:spacing w:after="80"/>
      </w:pPr>
      <w:r>
        <w:rPr>
          <w:b w:val="0"/>
          <w:i/>
          <w:color w:val="444444"/>
          <w:sz w:val="18"/>
        </w:rPr>
        <w:t>Commercial business and industrial park development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shd w:val="clear" w:color="auto" w:fill="D6E4F7"/>
          </w:tcPr>
          <w:p>
            <w:pPr>
              <w:jc w:val="left"/>
            </w:pPr>
            <w:r>
              <w:rPr>
                <w:b/>
                <w:i w:val="0"/>
                <w:color w:val="2E6DBF"/>
                <w:sz w:val="18"/>
              </w:rPr>
              <w:t>Metric</w:t>
            </w:r>
          </w:p>
        </w:tc>
        <w:tc>
          <w:tcPr>
            <w:tcW w:type="dxa" w:w="1728"/>
            <w:shd w:val="clear" w:color="auto" w:fill="D6E4F7"/>
          </w:tcPr>
          <w:p>
            <w:pPr>
              <w:jc w:val="center"/>
            </w:pPr>
            <w:r>
              <w:rPr>
                <w:b/>
                <w:i w:val="0"/>
                <w:color w:val="2E6DBF"/>
                <w:sz w:val="18"/>
              </w:rPr>
              <w:t>Low</w:t>
            </w:r>
          </w:p>
        </w:tc>
        <w:tc>
          <w:tcPr>
            <w:tcW w:type="dxa" w:w="1728"/>
            <w:shd w:val="clear" w:color="auto" w:fill="D6E4F7"/>
          </w:tcPr>
          <w:p>
            <w:pPr>
              <w:jc w:val="center"/>
            </w:pPr>
            <w:r>
              <w:rPr>
                <w:b/>
                <w:i w:val="0"/>
                <w:color w:val="2E6DBF"/>
                <w:sz w:val="18"/>
              </w:rPr>
              <w:t>High</w:t>
            </w:r>
          </w:p>
        </w:tc>
        <w:tc>
          <w:tcPr>
            <w:tcW w:type="dxa" w:w="1584"/>
            <w:shd w:val="clear" w:color="auto" w:fill="D6E4F7"/>
          </w:tcPr>
          <w:p>
            <w:pPr>
              <w:jc w:val="center"/>
            </w:pPr>
            <w:r>
              <w:rPr>
                <w:b/>
                <w:i w:val="0"/>
                <w:color w:val="2E6DBF"/>
                <w:sz w:val="18"/>
              </w:rPr>
              <w:t>Average</w:t>
            </w:r>
          </w:p>
        </w:tc>
      </w:tr>
      <w:tr>
        <w:tc>
          <w:tcPr>
            <w:tcW w:type="dxa" w:w="3600"/>
          </w:tcPr>
          <w:p>
            <w:pPr>
              <w:jc w:val="left"/>
            </w:pPr>
            <w:r>
              <w:rPr>
                <w:b w:val="0"/>
                <w:i w:val="0"/>
                <w:color w:val="444444"/>
                <w:sz w:val="18"/>
              </w:rPr>
              <w:t>Land Acquisition Loan Rate</w:t>
            </w:r>
          </w:p>
        </w:tc>
        <w:tc>
          <w:tcPr>
            <w:tcW w:type="dxa" w:w="1728"/>
          </w:tcPr>
          <w:p>
            <w:pPr>
              <w:jc w:val="center"/>
            </w:pPr>
            <w:r>
              <w:rPr>
                <w:b w:val="0"/>
                <w:i w:val="0"/>
                <w:color w:val="444444"/>
                <w:sz w:val="18"/>
              </w:rPr>
              <w:t>7.25%</w:t>
            </w:r>
          </w:p>
        </w:tc>
        <w:tc>
          <w:tcPr>
            <w:tcW w:type="dxa" w:w="1728"/>
          </w:tcPr>
          <w:p>
            <w:pPr>
              <w:jc w:val="center"/>
            </w:pPr>
            <w:r>
              <w:rPr>
                <w:b w:val="0"/>
                <w:i w:val="0"/>
                <w:color w:val="444444"/>
                <w:sz w:val="18"/>
              </w:rPr>
              <w:t>9.0%</w:t>
            </w:r>
          </w:p>
        </w:tc>
        <w:tc>
          <w:tcPr>
            <w:tcW w:type="dxa" w:w="1584"/>
          </w:tcPr>
          <w:p>
            <w:pPr>
              <w:jc w:val="center"/>
            </w:pPr>
            <w:r>
              <w:rPr>
                <w:b/>
                <w:i w:val="0"/>
                <w:color w:val="1E7E52"/>
                <w:sz w:val="18"/>
              </w:rPr>
              <w:t>8.125%</w:t>
            </w:r>
          </w:p>
        </w:tc>
      </w:tr>
      <w:tr>
        <w:tc>
          <w:tcPr>
            <w:tcW w:type="dxa" w:w="3600"/>
            <w:shd w:val="clear" w:color="auto" w:fill="F2F4F8"/>
          </w:tcPr>
          <w:p>
            <w:pPr>
              <w:jc w:val="left"/>
            </w:pPr>
            <w:r>
              <w:rPr>
                <w:b w:val="0"/>
                <w:i w:val="0"/>
                <w:color w:val="444444"/>
                <w:sz w:val="18"/>
              </w:rPr>
              <w:t>Construction Loan Rate</w:t>
            </w:r>
          </w:p>
        </w:tc>
        <w:tc>
          <w:tcPr>
            <w:tcW w:type="dxa" w:w="1728"/>
            <w:shd w:val="clear" w:color="auto" w:fill="F2F4F8"/>
          </w:tcPr>
          <w:p>
            <w:pPr>
              <w:jc w:val="center"/>
            </w:pPr>
            <w:r>
              <w:rPr>
                <w:b w:val="0"/>
                <w:i w:val="0"/>
                <w:color w:val="444444"/>
                <w:sz w:val="18"/>
              </w:rPr>
              <w:t>7.5%</w:t>
            </w:r>
          </w:p>
        </w:tc>
        <w:tc>
          <w:tcPr>
            <w:tcW w:type="dxa" w:w="1728"/>
            <w:shd w:val="clear" w:color="auto" w:fill="F2F4F8"/>
          </w:tcPr>
          <w:p>
            <w:pPr>
              <w:jc w:val="center"/>
            </w:pPr>
            <w:r>
              <w:rPr>
                <w:b w:val="0"/>
                <w:i w:val="0"/>
                <w:color w:val="444444"/>
                <w:sz w:val="18"/>
              </w:rPr>
              <w:t>9.25%</w:t>
            </w:r>
          </w:p>
        </w:tc>
        <w:tc>
          <w:tcPr>
            <w:tcW w:type="dxa" w:w="1584"/>
            <w:shd w:val="clear" w:color="auto" w:fill="F2F4F8"/>
          </w:tcPr>
          <w:p>
            <w:pPr>
              <w:jc w:val="center"/>
            </w:pPr>
            <w:r>
              <w:rPr>
                <w:b/>
                <w:i w:val="0"/>
                <w:color w:val="1E7E52"/>
                <w:sz w:val="18"/>
              </w:rPr>
              <w:t>8.375%</w:t>
            </w:r>
          </w:p>
        </w:tc>
      </w:tr>
      <w:tr>
        <w:tc>
          <w:tcPr>
            <w:tcW w:type="dxa" w:w="3600"/>
          </w:tcPr>
          <w:p>
            <w:pPr>
              <w:jc w:val="left"/>
            </w:pPr>
            <w:r>
              <w:rPr>
                <w:b w:val="0"/>
                <w:i w:val="0"/>
                <w:color w:val="444444"/>
                <w:sz w:val="18"/>
              </w:rPr>
              <w:t>Max LTV - Land</w:t>
            </w:r>
          </w:p>
        </w:tc>
        <w:tc>
          <w:tcPr>
            <w:tcW w:type="dxa" w:w="1728"/>
          </w:tcPr>
          <w:p>
            <w:pPr>
              <w:jc w:val="center"/>
            </w:pPr>
            <w:r>
              <w:rPr>
                <w:b w:val="0"/>
                <w:i w:val="0"/>
                <w:color w:val="444444"/>
                <w:sz w:val="18"/>
              </w:rPr>
              <w:t>55.0%</w:t>
            </w:r>
          </w:p>
        </w:tc>
        <w:tc>
          <w:tcPr>
            <w:tcW w:type="dxa" w:w="1728"/>
          </w:tcPr>
          <w:p>
            <w:pPr>
              <w:jc w:val="center"/>
            </w:pPr>
            <w:r>
              <w:rPr>
                <w:b w:val="0"/>
                <w:i w:val="0"/>
                <w:color w:val="444444"/>
                <w:sz w:val="18"/>
              </w:rPr>
              <w:t>70.0%</w:t>
            </w:r>
          </w:p>
        </w:tc>
        <w:tc>
          <w:tcPr>
            <w:tcW w:type="dxa" w:w="1584"/>
          </w:tcPr>
          <w:p>
            <w:pPr>
              <w:jc w:val="center"/>
            </w:pPr>
            <w:r>
              <w:rPr>
                <w:b/>
                <w:i w:val="0"/>
                <w:color w:val="1E7E52"/>
                <w:sz w:val="18"/>
              </w:rPr>
              <w:t>62.5%</w:t>
            </w:r>
          </w:p>
        </w:tc>
      </w:tr>
      <w:tr>
        <w:tc>
          <w:tcPr>
            <w:tcW w:type="dxa" w:w="3600"/>
            <w:shd w:val="clear" w:color="auto" w:fill="F2F4F8"/>
          </w:tcPr>
          <w:p>
            <w:pPr>
              <w:jc w:val="left"/>
            </w:pPr>
            <w:r>
              <w:rPr>
                <w:b w:val="0"/>
                <w:i w:val="0"/>
                <w:color w:val="444444"/>
                <w:sz w:val="18"/>
              </w:rPr>
              <w:t>Max LTV - Construction</w:t>
            </w:r>
          </w:p>
        </w:tc>
        <w:tc>
          <w:tcPr>
            <w:tcW w:type="dxa" w:w="1728"/>
            <w:shd w:val="clear" w:color="auto" w:fill="F2F4F8"/>
          </w:tcPr>
          <w:p>
            <w:pPr>
              <w:jc w:val="center"/>
            </w:pPr>
            <w:r>
              <w:rPr>
                <w:b w:val="0"/>
                <w:i w:val="0"/>
                <w:color w:val="444444"/>
                <w:sz w:val="18"/>
              </w:rPr>
              <w:t>60.0%</w:t>
            </w:r>
          </w:p>
        </w:tc>
        <w:tc>
          <w:tcPr>
            <w:tcW w:type="dxa" w:w="1728"/>
            <w:shd w:val="clear" w:color="auto" w:fill="F2F4F8"/>
          </w:tcPr>
          <w:p>
            <w:pPr>
              <w:jc w:val="center"/>
            </w:pPr>
            <w:r>
              <w:rPr>
                <w:b w:val="0"/>
                <w:i w:val="0"/>
                <w:color w:val="444444"/>
                <w:sz w:val="18"/>
              </w:rPr>
              <w:t>75.0%</w:t>
            </w:r>
          </w:p>
        </w:tc>
        <w:tc>
          <w:tcPr>
            <w:tcW w:type="dxa" w:w="1584"/>
            <w:shd w:val="clear" w:color="auto" w:fill="F2F4F8"/>
          </w:tcPr>
          <w:p>
            <w:pPr>
              <w:jc w:val="center"/>
            </w:pPr>
            <w:r>
              <w:rPr>
                <w:b/>
                <w:i w:val="0"/>
                <w:color w:val="1E7E52"/>
                <w:sz w:val="18"/>
              </w:rPr>
              <w:t>67.5%</w:t>
            </w:r>
          </w:p>
        </w:tc>
      </w:tr>
      <w:tr>
        <w:tc>
          <w:tcPr>
            <w:tcW w:type="dxa" w:w="3600"/>
          </w:tcPr>
          <w:p>
            <w:pPr>
              <w:jc w:val="left"/>
            </w:pPr>
            <w:r>
              <w:rPr>
                <w:b w:val="0"/>
                <w:i w:val="0"/>
                <w:color w:val="444444"/>
                <w:sz w:val="18"/>
              </w:rPr>
              <w:t>Equity Requirement</w:t>
            </w:r>
          </w:p>
        </w:tc>
        <w:tc>
          <w:tcPr>
            <w:tcW w:type="dxa" w:w="1728"/>
          </w:tcPr>
          <w:p>
            <w:pPr>
              <w:jc w:val="center"/>
            </w:pPr>
            <w:r>
              <w:rPr>
                <w:b w:val="0"/>
                <w:i w:val="0"/>
                <w:color w:val="444444"/>
                <w:sz w:val="18"/>
              </w:rPr>
              <w:t>25.0%</w:t>
            </w:r>
          </w:p>
        </w:tc>
        <w:tc>
          <w:tcPr>
            <w:tcW w:type="dxa" w:w="1728"/>
          </w:tcPr>
          <w:p>
            <w:pPr>
              <w:jc w:val="center"/>
            </w:pPr>
            <w:r>
              <w:rPr>
                <w:b w:val="0"/>
                <w:i w:val="0"/>
                <w:color w:val="444444"/>
                <w:sz w:val="18"/>
              </w:rPr>
              <w:t>35.0%</w:t>
            </w:r>
          </w:p>
        </w:tc>
        <w:tc>
          <w:tcPr>
            <w:tcW w:type="dxa" w:w="1584"/>
          </w:tcPr>
          <w:p>
            <w:pPr>
              <w:jc w:val="center"/>
            </w:pPr>
            <w:r>
              <w:rPr>
                <w:b/>
                <w:i w:val="0"/>
                <w:color w:val="1E7E52"/>
                <w:sz w:val="18"/>
              </w:rPr>
              <w:t>30.0%</w:t>
            </w:r>
          </w:p>
        </w:tc>
      </w:tr>
      <w:tr>
        <w:tc>
          <w:tcPr>
            <w:tcW w:type="dxa" w:w="3600"/>
            <w:shd w:val="clear" w:color="auto" w:fill="F2F4F8"/>
          </w:tcPr>
          <w:p>
            <w:pPr>
              <w:jc w:val="left"/>
            </w:pPr>
            <w:r>
              <w:rPr>
                <w:b w:val="0"/>
                <w:i w:val="0"/>
                <w:color w:val="444444"/>
                <w:sz w:val="18"/>
              </w:rPr>
              <w:t>Origination Fee</w:t>
            </w:r>
          </w:p>
        </w:tc>
        <w:tc>
          <w:tcPr>
            <w:tcW w:type="dxa" w:w="1728"/>
            <w:shd w:val="clear" w:color="auto" w:fill="F2F4F8"/>
          </w:tcPr>
          <w:p>
            <w:pPr>
              <w:jc w:val="center"/>
            </w:pPr>
            <w:r>
              <w:rPr>
                <w:b w:val="0"/>
                <w:i w:val="0"/>
                <w:color w:val="444444"/>
                <w:sz w:val="18"/>
              </w:rPr>
              <w:t>0.75 points</w:t>
            </w:r>
          </w:p>
        </w:tc>
        <w:tc>
          <w:tcPr>
            <w:tcW w:type="dxa" w:w="1728"/>
            <w:shd w:val="clear" w:color="auto" w:fill="F2F4F8"/>
          </w:tcPr>
          <w:p>
            <w:pPr>
              <w:jc w:val="center"/>
            </w:pPr>
            <w:r>
              <w:rPr>
                <w:b w:val="0"/>
                <w:i w:val="0"/>
                <w:color w:val="444444"/>
                <w:sz w:val="18"/>
              </w:rPr>
              <w:t>2.0 points</w:t>
            </w:r>
          </w:p>
        </w:tc>
        <w:tc>
          <w:tcPr>
            <w:tcW w:type="dxa" w:w="1584"/>
            <w:shd w:val="clear" w:color="auto" w:fill="F2F4F8"/>
          </w:tcPr>
          <w:p>
            <w:pPr>
              <w:jc w:val="center"/>
            </w:pPr>
            <w:r>
              <w:rPr>
                <w:b/>
                <w:i w:val="0"/>
                <w:color w:val="1E7E52"/>
                <w:sz w:val="18"/>
              </w:rPr>
              <w:t>1.375 points</w:t>
            </w:r>
          </w:p>
        </w:tc>
      </w:tr>
    </w:tbl>
    <w:p>
      <w:pPr>
        <w:spacing w:after="160"/>
      </w:pPr>
    </w:p>
    <w:p>
      <w:r>
        <w:br w:type="page"/>
      </w:r>
    </w:p>
    <w:p>
      <w:pPr>
        <w:pStyle w:val="Heading1"/>
        <w:spacing w:after="120"/>
      </w:pPr>
      <w:r>
        <w:rPr>
          <w:color w:val="1A2A4A"/>
        </w:rPr>
        <w:t>Financial Indices &amp; Benchmark Rates</w:t>
      </w:r>
    </w:p>
    <w:p>
      <w:pPr>
        <w:spacing w:before="40" w:after="120"/>
        <w:pBdr>
          <w:bottom w:val="single" w:sz="6" w:space="1" w:color="2E6DBF"/>
        </w:pBdr>
      </w:pPr>
    </w:p>
    <w:p>
      <w:pPr>
        <w:spacing w:after="160"/>
      </w:pPr>
      <w:r>
        <w:rPr>
          <w:b w:val="0"/>
          <w:i/>
          <w:color w:val="777777"/>
          <w:sz w:val="17"/>
        </w:rPr>
        <w:t>Source: RealtyRates.com Financial Indices</w:t>
      </w:r>
    </w:p>
    <w:p>
      <w:pPr>
        <w:spacing w:after="200"/>
      </w:pPr>
      <w:r>
        <w:rPr>
          <w:b w:val="0"/>
          <w:i w:val="0"/>
          <w:color w:val="444444"/>
          <w:sz w:val="19"/>
        </w:rPr>
        <w:t>Benchmark rates establish the pricing floor for all real estate lending. The 10-Year Treasury is the primary reference for long-term fixed-rate commercial mortgages; Prime Rate and SOFR anchor construction credit lines and floating-rate loans.</w:t>
      </w:r>
    </w:p>
    <w:tbl>
      <w:tblPr>
        <w:tblStyle w:val="TableGrid"/>
        <w:tblW w:type="auto" w:w="0"/>
        <w:jc w:val="center"/>
        <w:tblLook w:firstColumn="1" w:firstRow="1" w:lastColumn="0" w:lastRow="0" w:noHBand="0" w:noVBand="1" w:val="04A0"/>
      </w:tblPr>
      <w:tblGrid>
        <w:gridCol w:w="3120"/>
        <w:gridCol w:w="3120"/>
        <w:gridCol w:w="3120"/>
      </w:tblGrid>
      <w:tr>
        <w:tc>
          <w:tcPr>
            <w:tcW w:type="dxa" w:w="4032"/>
            <w:shd w:val="clear" w:color="auto" w:fill="2E6DBF"/>
          </w:tcPr>
          <w:p>
            <w:pPr>
              <w:jc w:val="left"/>
            </w:pPr>
            <w:r>
              <w:rPr>
                <w:b/>
                <w:i w:val="0"/>
                <w:color w:val="FFFFFF"/>
                <w:sz w:val="18"/>
              </w:rPr>
              <w:t>Index</w:t>
            </w:r>
          </w:p>
        </w:tc>
        <w:tc>
          <w:tcPr>
            <w:tcW w:type="dxa" w:w="1728"/>
            <w:shd w:val="clear" w:color="auto" w:fill="2E6DBF"/>
          </w:tcPr>
          <w:p>
            <w:pPr>
              <w:jc w:val="center"/>
            </w:pPr>
            <w:r>
              <w:rPr>
                <w:b/>
                <w:i w:val="0"/>
                <w:color w:val="FFFFFF"/>
                <w:sz w:val="18"/>
              </w:rPr>
              <w:t>Current Rate</w:t>
            </w:r>
          </w:p>
        </w:tc>
        <w:tc>
          <w:tcPr>
            <w:tcW w:type="dxa" w:w="3600"/>
            <w:shd w:val="clear" w:color="auto" w:fill="2E6DBF"/>
          </w:tcPr>
          <w:p>
            <w:pPr>
              <w:jc w:val="left"/>
            </w:pPr>
            <w:r>
              <w:rPr>
                <w:b/>
                <w:i w:val="0"/>
                <w:color w:val="FFFFFF"/>
                <w:sz w:val="18"/>
              </w:rPr>
              <w:t>Category / Notes</w:t>
            </w:r>
          </w:p>
        </w:tc>
      </w:tr>
      <w:tr>
        <w:tc>
          <w:tcPr>
            <w:tcW w:type="dxa" w:w="4032"/>
          </w:tcPr>
          <w:p>
            <w:pPr>
              <w:jc w:val="left"/>
            </w:pPr>
            <w:r>
              <w:rPr>
                <w:b w:val="0"/>
                <w:i w:val="0"/>
                <w:color w:val="444444"/>
                <w:sz w:val="18"/>
              </w:rPr>
              <w:t>Federal Funds Rate</w:t>
            </w:r>
          </w:p>
        </w:tc>
        <w:tc>
          <w:tcPr>
            <w:tcW w:type="dxa" w:w="1728"/>
          </w:tcPr>
          <w:p>
            <w:pPr>
              <w:jc w:val="center"/>
            </w:pPr>
            <w:r>
              <w:rPr>
                <w:b/>
                <w:i w:val="0"/>
                <w:color w:val="2E6DBF"/>
                <w:sz w:val="18"/>
              </w:rPr>
              <w:t>4.38%</w:t>
            </w:r>
          </w:p>
        </w:tc>
        <w:tc>
          <w:tcPr>
            <w:tcW w:type="dxa" w:w="3600"/>
          </w:tcPr>
          <w:p>
            <w:pPr>
              <w:jc w:val="left"/>
            </w:pPr>
            <w:r>
              <w:rPr>
                <w:b w:val="0"/>
                <w:i w:val="0"/>
                <w:color w:val="444444"/>
                <w:sz w:val="18"/>
              </w:rPr>
              <w:t>Central Bank  Target range 4.25–4.50%</w:t>
            </w:r>
          </w:p>
        </w:tc>
      </w:tr>
      <w:tr>
        <w:tc>
          <w:tcPr>
            <w:tcW w:type="dxa" w:w="4032"/>
            <w:shd w:val="clear" w:color="auto" w:fill="F2F4F8"/>
          </w:tcPr>
          <w:p>
            <w:pPr>
              <w:jc w:val="left"/>
            </w:pPr>
            <w:r>
              <w:rPr>
                <w:b w:val="0"/>
                <w:i w:val="0"/>
                <w:color w:val="444444"/>
                <w:sz w:val="18"/>
              </w:rPr>
              <w:t>10-Year Treasury</w:t>
            </w:r>
          </w:p>
        </w:tc>
        <w:tc>
          <w:tcPr>
            <w:tcW w:type="dxa" w:w="1728"/>
            <w:shd w:val="clear" w:color="auto" w:fill="F2F4F8"/>
          </w:tcPr>
          <w:p>
            <w:pPr>
              <w:jc w:val="center"/>
            </w:pPr>
            <w:r>
              <w:rPr>
                <w:b/>
                <w:i w:val="0"/>
                <w:color w:val="2E6DBF"/>
                <w:sz w:val="18"/>
              </w:rPr>
              <w:t>4.32%</w:t>
            </w:r>
          </w:p>
        </w:tc>
        <w:tc>
          <w:tcPr>
            <w:tcW w:type="dxa" w:w="3600"/>
            <w:shd w:val="clear" w:color="auto" w:fill="F2F4F8"/>
          </w:tcPr>
          <w:p>
            <w:pPr>
              <w:jc w:val="left"/>
            </w:pPr>
            <w:r>
              <w:rPr>
                <w:b w:val="0"/>
                <w:i w:val="0"/>
                <w:color w:val="444444"/>
                <w:sz w:val="18"/>
              </w:rPr>
              <w:t>Treasury</w:t>
            </w:r>
          </w:p>
        </w:tc>
      </w:tr>
      <w:tr>
        <w:tc>
          <w:tcPr>
            <w:tcW w:type="dxa" w:w="4032"/>
          </w:tcPr>
          <w:p>
            <w:pPr>
              <w:jc w:val="left"/>
            </w:pPr>
            <w:r>
              <w:rPr>
                <w:b w:val="0"/>
                <w:i w:val="0"/>
                <w:color w:val="444444"/>
                <w:sz w:val="18"/>
              </w:rPr>
              <w:t>2-Year Treasury</w:t>
            </w:r>
          </w:p>
        </w:tc>
        <w:tc>
          <w:tcPr>
            <w:tcW w:type="dxa" w:w="1728"/>
          </w:tcPr>
          <w:p>
            <w:pPr>
              <w:jc w:val="center"/>
            </w:pPr>
            <w:r>
              <w:rPr>
                <w:b/>
                <w:i w:val="0"/>
                <w:color w:val="2E6DBF"/>
                <w:sz w:val="18"/>
              </w:rPr>
              <w:t>4.18%</w:t>
            </w:r>
          </w:p>
        </w:tc>
        <w:tc>
          <w:tcPr>
            <w:tcW w:type="dxa" w:w="3600"/>
          </w:tcPr>
          <w:p>
            <w:pPr>
              <w:jc w:val="left"/>
            </w:pPr>
            <w:r>
              <w:rPr>
                <w:b w:val="0"/>
                <w:i w:val="0"/>
                <w:color w:val="444444"/>
                <w:sz w:val="18"/>
              </w:rPr>
              <w:t>Treasury</w:t>
            </w:r>
          </w:p>
        </w:tc>
      </w:tr>
      <w:tr>
        <w:tc>
          <w:tcPr>
            <w:tcW w:type="dxa" w:w="4032"/>
            <w:shd w:val="clear" w:color="auto" w:fill="F2F4F8"/>
          </w:tcPr>
          <w:p>
            <w:pPr>
              <w:jc w:val="left"/>
            </w:pPr>
            <w:r>
              <w:rPr>
                <w:b w:val="0"/>
                <w:i w:val="0"/>
                <w:color w:val="444444"/>
                <w:sz w:val="18"/>
              </w:rPr>
              <w:t>30-Year Treasury</w:t>
            </w:r>
          </w:p>
        </w:tc>
        <w:tc>
          <w:tcPr>
            <w:tcW w:type="dxa" w:w="1728"/>
            <w:shd w:val="clear" w:color="auto" w:fill="F2F4F8"/>
          </w:tcPr>
          <w:p>
            <w:pPr>
              <w:jc w:val="center"/>
            </w:pPr>
            <w:r>
              <w:rPr>
                <w:b/>
                <w:i w:val="0"/>
                <w:color w:val="2E6DBF"/>
                <w:sz w:val="18"/>
              </w:rPr>
              <w:t>4.55%</w:t>
            </w:r>
          </w:p>
        </w:tc>
        <w:tc>
          <w:tcPr>
            <w:tcW w:type="dxa" w:w="3600"/>
            <w:shd w:val="clear" w:color="auto" w:fill="F2F4F8"/>
          </w:tcPr>
          <w:p>
            <w:pPr>
              <w:jc w:val="left"/>
            </w:pPr>
            <w:r>
              <w:rPr>
                <w:b w:val="0"/>
                <w:i w:val="0"/>
                <w:color w:val="444444"/>
                <w:sz w:val="18"/>
              </w:rPr>
              <w:t>Treasury</w:t>
            </w:r>
          </w:p>
        </w:tc>
      </w:tr>
      <w:tr>
        <w:tc>
          <w:tcPr>
            <w:tcW w:type="dxa" w:w="4032"/>
          </w:tcPr>
          <w:p>
            <w:pPr>
              <w:jc w:val="left"/>
            </w:pPr>
            <w:r>
              <w:rPr>
                <w:b w:val="0"/>
                <w:i w:val="0"/>
                <w:color w:val="444444"/>
                <w:sz w:val="18"/>
              </w:rPr>
              <w:t>Prime Rate</w:t>
            </w:r>
          </w:p>
        </w:tc>
        <w:tc>
          <w:tcPr>
            <w:tcW w:type="dxa" w:w="1728"/>
          </w:tcPr>
          <w:p>
            <w:pPr>
              <w:jc w:val="center"/>
            </w:pPr>
            <w:r>
              <w:rPr>
                <w:b/>
                <w:i w:val="0"/>
                <w:color w:val="2E6DBF"/>
                <w:sz w:val="18"/>
              </w:rPr>
              <w:t>7.50%</w:t>
            </w:r>
          </w:p>
        </w:tc>
        <w:tc>
          <w:tcPr>
            <w:tcW w:type="dxa" w:w="3600"/>
          </w:tcPr>
          <w:p>
            <w:pPr>
              <w:jc w:val="left"/>
            </w:pPr>
            <w:r>
              <w:rPr>
                <w:b w:val="0"/>
                <w:i w:val="0"/>
                <w:color w:val="444444"/>
                <w:sz w:val="18"/>
              </w:rPr>
              <w:t>Bank Lending</w:t>
            </w:r>
          </w:p>
        </w:tc>
      </w:tr>
      <w:tr>
        <w:tc>
          <w:tcPr>
            <w:tcW w:type="dxa" w:w="4032"/>
            <w:shd w:val="clear" w:color="auto" w:fill="F2F4F8"/>
          </w:tcPr>
          <w:p>
            <w:pPr>
              <w:jc w:val="left"/>
            </w:pPr>
            <w:r>
              <w:rPr>
                <w:b w:val="0"/>
                <w:i w:val="0"/>
                <w:color w:val="444444"/>
                <w:sz w:val="18"/>
              </w:rPr>
              <w:t>SOFR (30-Day Avg)</w:t>
            </w:r>
          </w:p>
        </w:tc>
        <w:tc>
          <w:tcPr>
            <w:tcW w:type="dxa" w:w="1728"/>
            <w:shd w:val="clear" w:color="auto" w:fill="F2F4F8"/>
          </w:tcPr>
          <w:p>
            <w:pPr>
              <w:jc w:val="center"/>
            </w:pPr>
            <w:r>
              <w:rPr>
                <w:b/>
                <w:i w:val="0"/>
                <w:color w:val="2E6DBF"/>
                <w:sz w:val="18"/>
              </w:rPr>
              <w:t>4.30%</w:t>
            </w:r>
          </w:p>
        </w:tc>
        <w:tc>
          <w:tcPr>
            <w:tcW w:type="dxa" w:w="3600"/>
            <w:shd w:val="clear" w:color="auto" w:fill="F2F4F8"/>
          </w:tcPr>
          <w:p>
            <w:pPr>
              <w:jc w:val="left"/>
            </w:pPr>
            <w:r>
              <w:rPr>
                <w:b w:val="0"/>
                <w:i w:val="0"/>
                <w:color w:val="444444"/>
                <w:sz w:val="18"/>
              </w:rPr>
              <w:t>Bank Lending</w:t>
            </w:r>
          </w:p>
        </w:tc>
      </w:tr>
      <w:tr>
        <w:tc>
          <w:tcPr>
            <w:tcW w:type="dxa" w:w="4032"/>
          </w:tcPr>
          <w:p>
            <w:pPr>
              <w:jc w:val="left"/>
            </w:pPr>
            <w:r>
              <w:rPr>
                <w:b w:val="0"/>
                <w:i w:val="0"/>
                <w:color w:val="444444"/>
                <w:sz w:val="18"/>
              </w:rPr>
              <w:t>Fannie Mae 30-Yr Fixed</w:t>
            </w:r>
          </w:p>
        </w:tc>
        <w:tc>
          <w:tcPr>
            <w:tcW w:type="dxa" w:w="1728"/>
          </w:tcPr>
          <w:p>
            <w:pPr>
              <w:jc w:val="center"/>
            </w:pPr>
            <w:r>
              <w:rPr>
                <w:b/>
                <w:i w:val="0"/>
                <w:color w:val="2E6DBF"/>
                <w:sz w:val="18"/>
              </w:rPr>
              <w:t>6.85%</w:t>
            </w:r>
          </w:p>
        </w:tc>
        <w:tc>
          <w:tcPr>
            <w:tcW w:type="dxa" w:w="3600"/>
          </w:tcPr>
          <w:p>
            <w:pPr>
              <w:jc w:val="left"/>
            </w:pPr>
            <w:r>
              <w:rPr>
                <w:b w:val="0"/>
                <w:i w:val="0"/>
                <w:color w:val="444444"/>
                <w:sz w:val="18"/>
              </w:rPr>
              <w:t>Agency Mortgage</w:t>
            </w:r>
          </w:p>
        </w:tc>
      </w:tr>
      <w:tr>
        <w:tc>
          <w:tcPr>
            <w:tcW w:type="dxa" w:w="4032"/>
            <w:shd w:val="clear" w:color="auto" w:fill="F2F4F8"/>
          </w:tcPr>
          <w:p>
            <w:pPr>
              <w:jc w:val="left"/>
            </w:pPr>
            <w:r>
              <w:rPr>
                <w:b w:val="0"/>
                <w:i w:val="0"/>
                <w:color w:val="444444"/>
                <w:sz w:val="18"/>
              </w:rPr>
              <w:t>Freddie Mac 30-Yr Fixed</w:t>
            </w:r>
          </w:p>
        </w:tc>
        <w:tc>
          <w:tcPr>
            <w:tcW w:type="dxa" w:w="1728"/>
            <w:shd w:val="clear" w:color="auto" w:fill="F2F4F8"/>
          </w:tcPr>
          <w:p>
            <w:pPr>
              <w:jc w:val="center"/>
            </w:pPr>
            <w:r>
              <w:rPr>
                <w:b/>
                <w:i w:val="0"/>
                <w:color w:val="2E6DBF"/>
                <w:sz w:val="18"/>
              </w:rPr>
              <w:t>6.90%</w:t>
            </w:r>
          </w:p>
        </w:tc>
        <w:tc>
          <w:tcPr>
            <w:tcW w:type="dxa" w:w="3600"/>
            <w:shd w:val="clear" w:color="auto" w:fill="F2F4F8"/>
          </w:tcPr>
          <w:p>
            <w:pPr>
              <w:jc w:val="left"/>
            </w:pPr>
            <w:r>
              <w:rPr>
                <w:b w:val="0"/>
                <w:i w:val="0"/>
                <w:color w:val="444444"/>
                <w:sz w:val="18"/>
              </w:rPr>
              <w:t>Agency Mortgage</w:t>
            </w:r>
          </w:p>
        </w:tc>
      </w:tr>
      <w:tr>
        <w:tc>
          <w:tcPr>
            <w:tcW w:type="dxa" w:w="4032"/>
          </w:tcPr>
          <w:p>
            <w:pPr>
              <w:jc w:val="left"/>
            </w:pPr>
            <w:r>
              <w:rPr>
                <w:b w:val="0"/>
                <w:i w:val="0"/>
                <w:color w:val="444444"/>
                <w:sz w:val="18"/>
              </w:rPr>
              <w:t>FHA 30-Yr Fixed</w:t>
            </w:r>
          </w:p>
        </w:tc>
        <w:tc>
          <w:tcPr>
            <w:tcW w:type="dxa" w:w="1728"/>
          </w:tcPr>
          <w:p>
            <w:pPr>
              <w:jc w:val="center"/>
            </w:pPr>
            <w:r>
              <w:rPr>
                <w:b/>
                <w:i w:val="0"/>
                <w:color w:val="2E6DBF"/>
                <w:sz w:val="18"/>
              </w:rPr>
              <w:t>6.75%</w:t>
            </w:r>
          </w:p>
        </w:tc>
        <w:tc>
          <w:tcPr>
            <w:tcW w:type="dxa" w:w="3600"/>
          </w:tcPr>
          <w:p>
            <w:pPr>
              <w:jc w:val="left"/>
            </w:pPr>
            <w:r>
              <w:rPr>
                <w:b w:val="0"/>
                <w:i w:val="0"/>
                <w:color w:val="444444"/>
                <w:sz w:val="18"/>
              </w:rPr>
              <w:t>Agency Mortgage</w:t>
            </w:r>
          </w:p>
        </w:tc>
      </w:tr>
      <w:tr>
        <w:tc>
          <w:tcPr>
            <w:tcW w:type="dxa" w:w="4032"/>
            <w:shd w:val="clear" w:color="auto" w:fill="F2F4F8"/>
          </w:tcPr>
          <w:p>
            <w:pPr>
              <w:jc w:val="left"/>
            </w:pPr>
            <w:r>
              <w:rPr>
                <w:b w:val="0"/>
                <w:i w:val="0"/>
                <w:color w:val="444444"/>
                <w:sz w:val="18"/>
              </w:rPr>
              <w:t>Wall Street Journal Prime</w:t>
            </w:r>
          </w:p>
        </w:tc>
        <w:tc>
          <w:tcPr>
            <w:tcW w:type="dxa" w:w="1728"/>
            <w:shd w:val="clear" w:color="auto" w:fill="F2F4F8"/>
          </w:tcPr>
          <w:p>
            <w:pPr>
              <w:jc w:val="center"/>
            </w:pPr>
            <w:r>
              <w:rPr>
                <w:b/>
                <w:i w:val="0"/>
                <w:color w:val="2E6DBF"/>
                <w:sz w:val="18"/>
              </w:rPr>
              <w:t>7.50%</w:t>
            </w:r>
          </w:p>
        </w:tc>
        <w:tc>
          <w:tcPr>
            <w:tcW w:type="dxa" w:w="3600"/>
            <w:shd w:val="clear" w:color="auto" w:fill="F2F4F8"/>
          </w:tcPr>
          <w:p>
            <w:pPr>
              <w:jc w:val="left"/>
            </w:pPr>
            <w:r>
              <w:rPr>
                <w:b w:val="0"/>
                <w:i w:val="0"/>
                <w:color w:val="444444"/>
                <w:sz w:val="18"/>
              </w:rPr>
              <w:t>Bank Lending</w:t>
            </w:r>
          </w:p>
        </w:tc>
      </w:tr>
    </w:tbl>
    <w:p>
      <w:pPr>
        <w:spacing w:after="80"/>
      </w:pPr>
    </w:p>
    <w:p>
      <w:pPr>
        <w:spacing w:after="120"/>
      </w:pPr>
      <w:r>
        <w:rPr>
          <w:b w:val="0"/>
          <w:i/>
          <w:color w:val="999999"/>
          <w:sz w:val="17"/>
        </w:rPr>
        <w:t>[ Chart — Financial Indices (horizontal bar) available in the interactive HTML report ]</w:t>
      </w:r>
    </w:p>
    <w:p>
      <w:r>
        <w:br w:type="page"/>
      </w:r>
    </w:p>
    <w:p>
      <w:pPr>
        <w:pStyle w:val="Heading1"/>
        <w:spacing w:after="120"/>
      </w:pPr>
      <w:r>
        <w:rPr>
          <w:color w:val="1A2A4A"/>
        </w:rPr>
        <w:t>Subdivision Analysis — Key Findings</w:t>
      </w:r>
    </w:p>
    <w:p>
      <w:pPr>
        <w:spacing w:before="40" w:after="120"/>
        <w:pBdr>
          <w:bottom w:val="single" w:sz="6" w:space="1" w:color="2E6DBF"/>
        </w:pBdr>
      </w:pPr>
    </w:p>
    <w:p>
      <w:pPr>
        <w:pStyle w:val="Heading2"/>
        <w:spacing w:after="40"/>
      </w:pPr>
      <w:r>
        <w:rPr>
          <w:color w:val="1A2A4A"/>
          <w:sz w:val="22"/>
        </w:rPr>
        <w:t>1.  Development Risk Premium</w:t>
      </w:r>
    </w:p>
    <w:p>
      <w:pPr>
        <w:spacing w:after="160"/>
      </w:pPr>
      <w:r>
        <w:rPr>
          <w:b w:val="0"/>
          <w:i w:val="0"/>
          <w:color w:val="444444"/>
          <w:sz w:val="19"/>
        </w:rPr>
        <w:t>Subdivision land loans average 8.50%, representing a 4.18% spread over the 10-Year Treasury (4.32%). This premium reflects lender compensation for entitlement, absorption, and market timing risk inherent in raw land.</w:t>
      </w:r>
    </w:p>
    <w:p>
      <w:pPr>
        <w:pStyle w:val="Heading2"/>
        <w:spacing w:after="40"/>
      </w:pPr>
      <w:r>
        <w:rPr>
          <w:color w:val="1A2A4A"/>
          <w:sz w:val="22"/>
        </w:rPr>
        <w:t>2.  Subdivision vs. Stabilised Commercial</w:t>
      </w:r>
    </w:p>
    <w:p>
      <w:pPr>
        <w:spacing w:after="160"/>
      </w:pPr>
      <w:r>
        <w:rPr>
          <w:b w:val="0"/>
          <w:i w:val="0"/>
          <w:color w:val="444444"/>
          <w:sz w:val="19"/>
        </w:rPr>
        <w:t>Land loan rates (8.50% avg) run 1.17% above the average permanent loan rate for stabilised commercial properties (7.33%). Construction loan rates (8.75%) carry a similar premium.</w:t>
      </w:r>
    </w:p>
    <w:p>
      <w:pPr>
        <w:pStyle w:val="Heading2"/>
        <w:spacing w:after="40"/>
      </w:pPr>
      <w:r>
        <w:rPr>
          <w:color w:val="1A2A4A"/>
          <w:sz w:val="22"/>
        </w:rPr>
        <w:t>3.  Conservative LTV Constraints</w:t>
      </w:r>
    </w:p>
    <w:p>
      <w:pPr>
        <w:spacing w:after="160"/>
      </w:pPr>
      <w:r>
        <w:rPr>
          <w:b w:val="0"/>
          <w:i w:val="0"/>
          <w:color w:val="444444"/>
          <w:sz w:val="19"/>
        </w:rPr>
        <w:t>Maximum LTV on land acquisition averages 57.50% (range 50.00 – 65.00%), compared to 65–75% typical of stabilised commercial assets. Construction LTV averages 67.50%. Developers must bring meaningful equity to the table.</w:t>
      </w:r>
    </w:p>
    <w:p>
      <w:pPr>
        <w:pStyle w:val="Heading2"/>
        <w:spacing w:after="40"/>
      </w:pPr>
      <w:r>
        <w:rPr>
          <w:color w:val="1A2A4A"/>
          <w:sz w:val="22"/>
        </w:rPr>
        <w:t>4.  Absorption Rate is the Primary Feasibility Lever</w:t>
      </w:r>
    </w:p>
    <w:p>
      <w:pPr>
        <w:spacing w:after="160"/>
      </w:pPr>
      <w:r>
        <w:rPr>
          <w:b w:val="0"/>
          <w:i w:val="0"/>
          <w:color w:val="444444"/>
          <w:sz w:val="19"/>
        </w:rPr>
        <w:t>Lenders typically underwrite 12.0 lots/month (range 6.0–18.0 lots/month). Faster absorption reduces carry cost and shortens the loan term, directly improving project IRR. Market demand, pricing strategy, and amenity package all drive this metric.</w:t>
      </w:r>
    </w:p>
    <w:p>
      <w:pPr>
        <w:pStyle w:val="Heading2"/>
        <w:spacing w:after="40"/>
      </w:pPr>
      <w:r>
        <w:rPr>
          <w:color w:val="1A2A4A"/>
          <w:sz w:val="22"/>
        </w:rPr>
        <w:t>5.  Equity Requirement</w:t>
      </w:r>
    </w:p>
    <w:p>
      <w:pPr>
        <w:spacing w:after="160"/>
      </w:pPr>
      <w:r>
        <w:rPr>
          <w:b w:val="0"/>
          <w:i w:val="0"/>
          <w:color w:val="444444"/>
          <w:sz w:val="19"/>
        </w:rPr>
        <w:t>Lenders require 32.50% equity on average (range 25.00 – 40.00%). With Prime Rate at 7.50%, carry costs are elevated — making pre-sales and phased releases critical to managing cash flow.</w:t>
      </w:r>
    </w:p>
    <w:p>
      <w:pPr>
        <w:pStyle w:val="Heading2"/>
        <w:spacing w:after="40"/>
      </w:pPr>
      <w:r>
        <w:rPr>
          <w:color w:val="1A2A4A"/>
          <w:sz w:val="22"/>
        </w:rPr>
        <w:t>6.  Rate Environment Context</w:t>
      </w:r>
    </w:p>
    <w:p>
      <w:pPr>
        <w:spacing w:after="160"/>
      </w:pPr>
      <w:r>
        <w:rPr>
          <w:b w:val="0"/>
          <w:i w:val="0"/>
          <w:color w:val="444444"/>
          <w:sz w:val="19"/>
        </w:rPr>
        <w:t>With the Federal Funds Rate at ~4.375% and the 10-Year Treasury at 4.32%, land loan rates remain historically elevated. Projects underwritten at today's rates should stress-test absorption assumptions and plan for potential refinancing once rates moderate.</w:t>
      </w:r>
    </w:p>
    <w:p>
      <w:pPr>
        <w:spacing w:after="80"/>
      </w:pPr>
    </w:p>
    <w:p>
      <w:r>
        <w:br w:type="page"/>
      </w:r>
    </w:p>
    <w:p>
      <w:pPr>
        <w:pStyle w:val="Heading1"/>
        <w:spacing w:after="120"/>
      </w:pPr>
      <w:r>
        <w:rPr>
          <w:color w:val="1A2A4A"/>
        </w:rPr>
        <w:t>Methodology &amp; Disclaimers</w:t>
      </w:r>
    </w:p>
    <w:p>
      <w:pPr>
        <w:spacing w:before="40" w:after="120"/>
        <w:pBdr>
          <w:bottom w:val="single" w:sz="6" w:space="1" w:color="2E6DBF"/>
        </w:pBdr>
      </w:pPr>
    </w:p>
    <w:p>
      <w:pPr>
        <w:spacing w:after="120"/>
      </w:pPr>
      <w:r>
        <w:rPr>
          <w:b/>
          <w:i w:val="0"/>
          <w:color w:val="1A2A4A"/>
          <w:sz w:val="19"/>
        </w:rPr>
        <w:t xml:space="preserve">Data Source: </w:t>
      </w:r>
      <w:r>
        <w:rPr>
          <w:b w:val="0"/>
          <w:i w:val="0"/>
          <w:color w:val="444444"/>
          <w:sz w:val="19"/>
        </w:rPr>
        <w:t>All data is sourced from the free survey publications available at realtyrates.com. RealtyRates.com aggregates quarterly responses from over 300 appraisers, brokers, and direct lenders across the United States.</w:t>
      </w:r>
    </w:p>
    <w:p>
      <w:pPr>
        <w:spacing w:after="120"/>
      </w:pPr>
      <w:r>
        <w:rPr>
          <w:b/>
          <w:i w:val="0"/>
          <w:color w:val="1A2A4A"/>
          <w:sz w:val="19"/>
        </w:rPr>
        <w:t xml:space="preserve">Survey Coverage: </w:t>
      </w:r>
      <w:r>
        <w:rPr>
          <w:b w:val="0"/>
          <w:i w:val="0"/>
          <w:color w:val="444444"/>
          <w:sz w:val="19"/>
        </w:rPr>
        <w:t>Three free surveys are captured: (1) Commercial Mortgage Rate Survey — cap rates and loan terms for 15+ income-producing property types; (2) Financial Indices — key benchmark rates; (3) Developer Survey — financing terms for subdivisions, PUDs, condominiums, and business/industrial parks.</w:t>
      </w:r>
    </w:p>
    <w:p>
      <w:pPr>
        <w:spacing w:after="120"/>
      </w:pPr>
      <w:r>
        <w:rPr>
          <w:b/>
          <w:i w:val="0"/>
          <w:color w:val="1A2A4A"/>
          <w:sz w:val="19"/>
        </w:rPr>
        <w:t xml:space="preserve">Update Frequency: </w:t>
      </w:r>
      <w:r>
        <w:rPr>
          <w:b w:val="0"/>
          <w:i w:val="0"/>
          <w:color w:val="444444"/>
          <w:sz w:val="19"/>
        </w:rPr>
        <w:t>RealtyRates.com publishes survey data quarterly. This report is refreshed automatically each week via a GitHub Actions workflow; the data version reflects the most recently published quarter.</w:t>
      </w:r>
    </w:p>
    <w:p>
      <w:pPr>
        <w:spacing w:after="120"/>
      </w:pPr>
      <w:r>
        <w:rPr>
          <w:b/>
          <w:i w:val="0"/>
          <w:color w:val="1A2A4A"/>
          <w:sz w:val="19"/>
        </w:rPr>
        <w:t xml:space="preserve">Limitations: </w:t>
      </w:r>
      <w:r>
        <w:rPr>
          <w:b w:val="0"/>
          <w:i w:val="0"/>
          <w:color w:val="444444"/>
          <w:sz w:val="19"/>
        </w:rPr>
        <w:t>Survey data represents typical market ranges and averages — individual transactions may fall outside these ranges based on sponsor quality, market, property condition, and lender appetite. This report is for informational purposes only and does not constitute investment or lending advice.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444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A2A4A"/>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A2A4A"/>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A2A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