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City of Prairie Village</w:t>
      </w:r>
      <w:r w:rsidR="003F1CD8">
        <w:rPr>
          <w:sz w:val="21"/>
        </w:rPr>
        <w:tab/>
      </w:r>
      <w:r>
        <w:rPr>
          <w:b w:val="0"/>
          <w:sz w:val="21"/>
        </w:rPr>
        <w:t xml:space="preserve">KS, Information Systems Manager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KS</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150,000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KS</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Government (state/local/federal)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First Responder Public Safety Services, Parks  Rec including Aquatics/Pool, Pet Licensing, Building Permits, Public Works services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250-500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3</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2</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0</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 Pro</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no</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no</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0</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0</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Recovery,Document Management SystemsHelp DeskIT Service Management (ITSM)Storage,Virtual Machines,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12tb  datto backup appliance replacement planned for 2nd or 3rd quarter this year.  _x000D_</w:t>
        <w:br/>
        <w:t xml:space="preserve">_x000D_</w:t>
        <w:br/>
        <w:t xml:space="preserve">document manager system is desired by hr, city clerks and court staff.  must be cjis compliant meeting fips 140-2 encryption and most likely needs to be on prem self hosted to be cjis compliant for court and police department use._x000D_</w:t>
        <w:br/>
        <w:t xml:space="preserve">_x000D_</w:t>
        <w:br/>
        <w:t xml:space="preserve">currently use freshservice for helpdesk software.  would like to use something all inclusive for helpdesk tickets, asset tracking, project management, remote control support, software deployment automation, etc.</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ConsultingDigital Transformation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we have a lot of microfiche tape that we would like to have converted to digital and if/when we get document management service be able to add converted documents from there.</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RecoveryData VisualizationEncryption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backups and disaster recovery.  we need to replace our datto backup appliance this year. it currently acts as our on-prem backup and also our dr repository as we retain unlimited cloud backups and can spin up virtualization in the cloud temporary if need be due to disaster.  _x000D_</w:t>
        <w:br/>
        <w:t xml:space="preserve">_x000D_</w:t>
        <w:br/>
        <w:t xml:space="preserve">our city buildings are too all private fiber connected but too close for housing our own dr site which is why cloud repository.</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Cloud based phone systems (VOIP),</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have a mitel db 250 phone system end of life in next couple of years.  we need to upgrade entire phone system with physical phones and softphone capabilities.</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have google fiber that we currently use open mesh (now datto) wireless access points.  since datto acquired open mesh the free cloud controller is now subscription model going forward.  interested in finding a low cost wifi cloud managed controller for wireless access points.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CertificatesIT Training Software for staff : SoftwareStaffing - Permanent to hire IT staffing</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we are a 2 person it department possibly getting approved to hire a 3rd person late 2022 or early 2023.  we currently subscribe to stormwind studios for online technical training.</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