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Franklin County Municipal Court</w:t>
      </w:r>
      <w:r w:rsidR="003F1CD8">
        <w:rPr>
          <w:sz w:val="21"/>
        </w:rPr>
        <w:tab/>
      </w:r>
      <w:r>
        <w:rPr>
          <w:b w:val="0"/>
          <w:sz w:val="21"/>
        </w:rPr>
        <w:t xml:space="preserve">OH, IT Director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OH</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1.4 million</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OH</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Government (state/local/federal)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The Court has fourteen General Division judges and one Environmental Division judge. Judges preside over civil, criminal, and traffic cases and conduct both jury and non-jury trials. The Court’s jurisdiction includes traffic cases, misdemeanor criminal cases, and civil cases where the amount at issue is $15,000 or less.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250-500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6</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300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Ceridian</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,Cloud Security,Data Loss ProtectionDisaster / Backup Recovery,Email Security,Endpoint detection  response (EDR)Endpoint prevention,Multi-factor authentication,Mobile Security,PhishingUser behavior monitoring,Web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looking for email security for office 365 and a possible casb solution.  additionally, we are looking for alternative mfa providers, beyond the basic microsoft solutions.  finally, looking for mdm and device management solutions.  phishing tests and security training for staff are also on our radar.  we are also considering backup options for microsoft office 365 data.</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,Help DeskIT Service Management (ITSM)Storage,Virtual Machines,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are considering using some windows/microsoft cloud based virtual desktops as well as azure storage.  itsm/helpdesk is also on our radar as we are currently exploring solutions.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Training Software for staff : Cybersecurity,IT Training Software for staff : Software,IT Training Software for staff : IT Operations,Staffing - Permanent to hire IT staffing</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we will be hiring both full-time positions as well as contract staffing to hire positions in the next 6-12 months.  looking at resources available for both of these areas as we anticipate challenges in hiring in the tight columbus, ohio market.</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