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InkCycle,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KS,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Ink and Toner Cartridges_x000D_</w:t>
        <w:br/>
        <w:t xml:space="preserve">Copiers_x000D_</w:t>
        <w:br/>
        <w:t xml:space="preserve">Printer repair_x000D_</w:t>
        <w:br/>
        <w:t xml:space="preserve">HOCL and disinfectant chemicals and equipment_x000D_</w:t>
        <w:br/>
        <w:t xml:space="preserve">I am Director of IT for EPH - emeraldprairiehealth.com_x000D_</w:t>
        <w:br/>
        <w:t xml:space="preserve">and LaserCycle, Inc - www.lasercycle.com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IFS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SecutiryData Loss ProtectionDisaster / Backup Recovery,Email Security,Endpoint detection  response (EDR)Network Security - Intrusion Prevention SystemsNetwork Security - Unified Threat Management,Phishing,Physical Security - Surveillance and Access ControlRansomware,Security Operations Center – SOC as a Service,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 believe email to be the number one threat to everyone right now, followed by intrusion detection._x000D_</w:t>
        <w:br/>
        <w:t xml:space="preserve">i am using older solutions and am actually interested in newer solutions because of expected growth in the coming year.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not really having cloud problems at this time.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i'm not really doing anything with this right now.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i'm afraid of losing my data, whether from old hardware or ransomware.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like to know what my options are as needs arise.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fairly happy with my current setup.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,RoutingWAN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real struggles. i'm just relying on outdated equipment. i will need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i don't hire consultants very often.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changes planned.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