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PublicRelay, Inc.</w:t>
      </w:r>
      <w:r w:rsidR="003F1CD8">
        <w:rPr>
          <w:sz w:val="21"/>
        </w:rPr>
        <w:tab/>
      </w:r>
      <w:r>
        <w:rPr>
          <w:b w:val="0"/>
          <w:sz w:val="21"/>
        </w:rPr>
        <w:t xml:space="preserve">VA, CTO</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VA</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800,000</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VA</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High Tech</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We offer a media monitoring service, with AI powering it ,augmented by humans-in-the-loop for accuracy.  Our Fortune500 clients benefit from insights as to how their brand, their products, and how their competition are viewed in media (online, offline, and social)</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100-250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Less than $50M</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2</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2</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2</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0</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Linux, macOS, Windows</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0</w:t>
      </w:r>
    </w:p>
    <w:p w14:paraId="37B0F995" w14:textId="233E8D7D" w:rsidR="00E12FF2" w:rsidRDefault="003F1CD8">
      <w:pPr>
        <w:ind w:right="81"/>
      </w:pPr>
      <w:r>
        <w:t>Who is your Cloud Service Provider?</w:t>
      </w:r>
      <w:r w:rsidR="005F4BBA">
        <w:rPr>
          <w:b w:val="0"/>
        </w:rPr>
        <w:t xml:space="preserve"> </w:t>
      </w:r>
      <w:r w:rsidR="005F4BBA">
        <w:rPr>
          <w:b w:val="0"/>
        </w:rPr>
        <w:t xml:space="preserve">AWS</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Application Security - Vulnerability Assessment,DevOps SecurityNetwork Security - FirewallNetwork Security - Monitoring  forensicsRisk  Compliance,Security Rating / BenchmarkingWeb Security</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some of our clients are asking about our soc2 compliance. we're currently fugue customers, but would be interested to know about alternatives.</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yes</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yes</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Cloud Migration ServicesDev-Ops,Storage,Virtual Machines,</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our deployed footprint on aws is about 70 machines for production.  each month we spin up another replica of production, for testing. i'm interested in knowing if there are vendors who can help with that burden</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no</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no</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0</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yes</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yes</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Backup/Disaster Recovery,BI Dashboard  ReportingBusiness IntelligenceData Quality,Data VisualizationNetwork and application performance monitoring</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we are aws customers and have been "fairly content" with the disaster recovery that snapshots afford.  we are also tableau customers, but as our size grows, there may be an opportunity for a well-positioned competitor to sway us from that technology.</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yes</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yes</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APIs,Application Architecture,Application IntegrationAutomation Testing Software,Cloud,DevOps,Open SourceOutsourced Software / Application Development</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we use an in-house development team at present, but may have some code that can be packaged up as microservices, and farmed out for outsourcing.  unfortunately, being in the washington, dc area, there is some sensitivity about how much outsourcing we can do.  strong interest in understanding automated testing solutions.</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yes</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no</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we have no immediate plans to expand our communication services.</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yes</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no</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we have no immediate plans to expand our network services.</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yes</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yes</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IT Service Management (ITSM)Software / Application Development,</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we *may* be approaching the size where outsourcing it services would make sense.  we have offices in the us as well as dublin.  i would want to talk with vendors who could support an international presence.  for application development, as answered earlier, we have some sensitivities about who we can hire based on our proximity to washington, dc, and some of our clientele.</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yes</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no</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,IT Asset Management,</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we are customers of vcom and knowbe4</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