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The Museum of Flight Foundation</w:t>
      </w:r>
      <w:r w:rsidR="003F1CD8">
        <w:rPr>
          <w:sz w:val="21"/>
        </w:rPr>
        <w:tab/>
      </w:r>
      <w:r>
        <w:rPr>
          <w:b w:val="0"/>
          <w:sz w:val="21"/>
        </w:rPr>
        <w:t xml:space="preserve">WA, Director, Technology and Cyber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WA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WA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Non-Profit</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Arts and Culture, Aerospace History</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100-250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4</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 / Server 2016  2019</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Abila / Microix</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,Security Awareness Computer-Based Training for end-users,Data Loss ProtectionData SecurityDisaster / Backup Recovery,Email Security,Employee monitoring – Insider Threat Detection,Encryption,Endpoint detection  response (EDR)Endpoint preventionZerotrustManaged Security Service Provider,Network Security - Firewall,Network Security - Intrusion Prevention Systems,Network Security - Monitoring  forensicsPhishing,Physical Security - Surveillance and Access ControlRansomwareSecurity Incident Response,Security Operations Center – SOC as a Service,SOAR – Security Orchestration Automation and ResponseThreat Intelligence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in 2022, i will be hiring an entry level cybersecurity analyst.  as such, some duties will roll to them; however, we need to migrate to the cloud in a hybrid manner and discussions like these will focus us intently.</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Recovery,Data Quality,Data VisualizationEncryption,Hyper-converged Infrastructure (HCI),Network and application performance monitoringServer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as a vmware customer and looking to migrate to the cloud, we need to identify the pitfalls that might surround us.  we protect our environment with rubrik (a trusted advisor) and need to protect our ip (digitized copies of materials from former aerospace pioneers and space exploration).</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Cloud based phone systems (VOIP)Contract Management,Contract NegotiationsHosted PBXVideo Conferencing</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n/a - anything is better than skype for business 2015</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Intranet,Network ConnectivityRoutingSwitching,WIFI,Wireless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our infrastructure (brocade) is so long in the tooth, it might as well be called methuseleuh.</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Certificates,IT Training Software for staff : CybersecurityIT Training Software for staff : IT Operations,Leadership coaching,Staffing – Permanent to hire Cybersecurity staffing,Workload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this one is all about me.</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