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Utility trailer Mfg. Co.</w:t>
      </w:r>
      <w:r w:rsidR="003F1CD8">
        <w:rPr>
          <w:sz w:val="21"/>
        </w:rPr>
        <w:tab/>
      </w:r>
      <w:r>
        <w:rPr>
          <w:b w:val="0"/>
          <w:sz w:val="21"/>
        </w:rPr>
        <w:t xml:space="preserve">CA, Sr. Technical Computing Manager </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$1,000,000 </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Manufacturing / Natural Resources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The Worlds Leading Producer of Strong, Light Weight Trailers. We are an innovative manufacturer of dry freight vans, refrigerated vans and flatbeds. We remain the largest producer of refrigerated vans and one of the largest trailer manufacturer in the United States.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$1B-$5B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7</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25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4</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25</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Microsoft</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Assessment,Security Awareness Computer-Based Training for end-users,Data Loss ProtectionData SecurityDisaster / Backup Recovery,Email Security,Employee monitoring – Insider Threat Detection,Encryption,Endpoint detection  response (EDR)Endpoint preventionNetwork Security - Intrusion Prevention Systems,Phishing,Ransomware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email phishing and the new click less emails that can infect your system without any interactions from the recipient.</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RecoveryCloud Migration Services,Document Management Systems,Virtual Machines,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cloud security</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Security,</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secure digital assets from ransomware.</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RecoveryEncryption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backup and recovery in a few hours.</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Company Intranet,Switching</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develop company intranet for an air-gapped network.</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IT Service Management (ITSM),</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use 3rd party vendors to complement current staff.</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