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R1 RCM</w:t>
      </w:r>
      <w:r w:rsidR="003F1CD8">
        <w:rPr>
          <w:sz w:val="21"/>
        </w:rPr>
        <w:tab/>
      </w:r>
      <w:r>
        <w:rPr>
          <w:b w:val="0"/>
          <w:sz w:val="21"/>
        </w:rPr>
        <w:t xml:space="preserve">IL, Head of Identity Access Management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$10M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Healthcare Revenue Cycle Management Products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10,000+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300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IBM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Data Loss ProtectionData SecurityDisaster / Backup Recovery,Email Security,Identity  Access Management,Multi-factor authentication,ZerotrustPhysical Security - Surveillance and Access Control,Privileged Access ManagementSIEM,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identity access management_x000D_</w:t>
        <w:br/>
        <w:t xml:space="preserve">pam_x000D_</w:t>
        <w:br/>
        <w:t xml:space="preserve">siem_x000D_</w:t>
        <w:br/>
        <w:t xml:space="preserve">audit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ReportingBusiness Intelligence,Business Process ManagementData Cleansing,Data Governance  MDM,Data Integration  Access,Data Quality,Encryption,Outsourced Consulting,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data governance_x000D_</w:t>
        <w:br/>
        <w:t xml:space="preserve">data security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,Digital WorkerStaffing / RecruitingVendor Evaluations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niche skills_x000D_</w:t>
        <w:br/>
        <w:t xml:space="preserve">quality people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Training Software for staff : Cybersecurity,Leadership coaching,Staffing - Outsourced staffing – Project based,Staffing - Permanent to hire IT staffing,Staffing – Permanent to hire Cybersecurity staffing,Staffing - Staff Retention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retention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