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Propak Systems Ltd</w:t>
      </w:r>
      <w:r w:rsidR="003F1CD8">
        <w:rPr>
          <w:sz w:val="21"/>
        </w:rPr>
        <w:tab/>
      </w:r>
      <w:r>
        <w:rPr>
          <w:b w:val="0"/>
          <w:sz w:val="21"/>
        </w:rPr>
        <w:t xml:space="preserve">Canada, Director IT</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Canada</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5m</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Canada</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Manufacturing / Natural Resources</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engineering, fabrication, construction and service for Energy Processing Industry</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1000-5000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$500M-$1B</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15</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18</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1</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5</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 10 and Windows 2019 server</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Infor</w:t>
      </w:r>
    </w:p>
    <w:p w14:paraId="37B0F995" w14:textId="233E8D7D" w:rsidR="00E12FF2" w:rsidRDefault="003F1CD8">
      <w:pPr>
        <w:ind w:right="81"/>
      </w:pPr>
      <w:r>
        <w:t>Who is your Cloud Service Provider?</w:t>
      </w:r>
      <w:r w:rsidR="005F4BBA">
        <w:rPr>
          <w:b w:val="0"/>
        </w:rPr>
        <w:t xml:space="preserve"> </w:t>
      </w:r>
      <w:r w:rsidR="005F4BBA">
        <w:rPr>
          <w:b w:val="0"/>
        </w:rPr>
        <w:t xml:space="preserve">Azure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Critical Event ManagementData Loss Protection,Email Security,Identity  Access ManagementZerotrustRansomwareSecurity Incident Response,SIEMThird Party Cyber Risk Management,</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third party risk management is a big one.  currently have nothing in place and deal with alot of unprotected small vendors.  looking for a solution to gauge the risk of dealing with smaller parties._x000D_</w:t>
        <w:br/>
        <w:t xml:space="preserve">_x000D_</w:t>
        <w:br/>
        <w:t xml:space="preserve">interested in zero trust and hope to deploy a solution throughout 2022.</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yes</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ERP,IT Service Management (ITSM)</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erp and service desk software are the required cloud solutions this year.  currently using infor visual onpremise for erp and have outgrown it.  use alloy software of it service desk and it no longer meets are needs.</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yes</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yes</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,Digital Transformation</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very paper based for ap invoicing and receiving.  would like to digitize solution with signatures/approvals and auto process much of it into erp.</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yes</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yes</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Server Storage</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running nimbles onsite, looking to expand or replace to meet growing storage concerns.</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yes</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no challenges at this time</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yes</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no challenges at this time</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yes</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SD-WAN,</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 setup multiple construction sites across the globe through the year that range induration from 3 to 18 months work.  looking for a solution to easily deploy a site and connect to main network regardless of location of endpoints.</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yes</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no challenges at this time</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yes</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,IT Training Software for staff : Cybersecurity,IT Training Software for staff : SoftwareStaffing - Staff RetentionWorkload Prioritization/ Employee Burnout Prevention</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keep, develop and maintain staff.</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