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Wood County, Ohio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$250K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All County Government related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RecoveryIdentity  Access Management,Multi-factor authenticationNetwork Security - Monitoring  forensicsSIEM,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multi-factor authentication for endpoints may be driving force in 2022.  the other selected items are always good discussion topics and they change constantly.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RecoveryManaged File Transfer,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currently use microsoft 365 but we are just scratching the surface.  i have a need to backup that m365 data and prefer a cloud-to-cloud solution versus the on-prem download nightly.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ConsultingDigital Workforce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are a county government and we don't have a need for a large automation process, but today's environment has opened up remote workforce/consultant opportunities that we would have ignored in the past.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Recovery,Hyper-converged Infrastructure (HCI),Server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our current data storage infrastructure is a mix.  one server room has hci while the other has a traditional iscsi array.  the hci is becoming expensive to maintain and the iscsi array will be end of life in 3 years.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OptimizationHosted PBX,Unified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currently run an on-prem voip system with sip trunks from our telco provider.  i may have a need in future years to replace that on-prem system with either another on-prem or a hosted pbx.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need at this time.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Software / Application Development,Staffing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currently use microsoft 365 but we are just scratching the surface.   i may have a need for outsourced it and/or application development via our m365 environment.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there is some discussion about shared services with another local entity and that may provide the opportunity for a new cio/cto type of position.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