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between w:color="000000" w:space="0" w:sz="0" w:val="none"/>
        </w:pBdr>
        <w:shd w:fill="ffffff" w:val="clear"/>
        <w:spacing w:before="480" w:lineRule="auto"/>
        <w:rPr>
          <w:b w:val="1"/>
          <w:bCs w:val="1"/>
          <w:color w:val="365f91"/>
          <w:sz w:val="28"/>
          <w:szCs w:val="28"/>
        </w:rPr>
      </w:pPr>
      <w:r w:rsidDel="00000000" w:rsidR="00000000" w:rsidRPr="00000000">
        <w:rPr>
          <w:b w:val="1"/>
          <w:bCs w:val="1"/>
          <w:sz w:val="38"/>
          <w:szCs w:val="38"/>
          <w:rtl w:val="0"/>
        </w:rPr>
        <w:t xml:space="preserve">FEATURE ENGINEERING EN ORANGE</w:t>
      </w:r>
      <w:r w:rsidDel="00000000" w:rsidR="00000000" w:rsidRPr="00000000">
        <w:rPr>
          <w:b w:val="1"/>
          <w:bCs w:val="1"/>
          <w:color w:val="365f91"/>
          <w:sz w:val="28"/>
          <w:szCs w:val="28"/>
          <w:rtl w:val="0"/>
        </w:rPr>
        <w:t xml:space="preserve"> </w:t>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shd w:fill="ffffff" w:val="clear"/>
        <w:spacing w:before="480" w:lineRule="auto"/>
        <w:rPr>
          <w:b w:val="1"/>
          <w:bCs w:val="1"/>
          <w:color w:val="365f91"/>
          <w:sz w:val="28"/>
          <w:szCs w:val="28"/>
        </w:rPr>
      </w:pPr>
      <w:r w:rsidDel="00000000" w:rsidR="00000000" w:rsidRPr="00000000">
        <w:rPr>
          <w:b w:val="1"/>
          <w:bCs w:val="1"/>
          <w:color w:val="365f91"/>
          <w:sz w:val="28"/>
          <w:szCs w:val="28"/>
          <w:rtl w:val="0"/>
        </w:rPr>
        <w:t xml:space="preserve">4. Feature Engineering: variables creadas</w:t>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pPr>
      <w:r w:rsidDel="00000000" w:rsidR="00000000" w:rsidRPr="00000000">
        <w:rPr>
          <w:rtl w:val="0"/>
        </w:rPr>
        <w:t xml:space="preserve">Se utilizó Fórmula para construir cuatro variables derivadas que resumen información financiera y laboral.</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hd w:fill="ffffff" w:val="clear"/>
        <w:spacing w:before="200" w:lineRule="auto"/>
        <w:rPr>
          <w:b w:val="1"/>
          <w:bCs w:val="1"/>
          <w:color w:val="4f81bd"/>
          <w:sz w:val="26"/>
          <w:szCs w:val="26"/>
        </w:rPr>
      </w:pPr>
      <w:r w:rsidDel="00000000" w:rsidR="00000000" w:rsidRPr="00000000">
        <w:rPr>
          <w:b w:val="1"/>
          <w:bCs w:val="1"/>
          <w:color w:val="4f81bd"/>
          <w:sz w:val="26"/>
          <w:szCs w:val="26"/>
          <w:rtl w:val="0"/>
        </w:rPr>
        <w:t xml:space="preserve">4.1. net_capital_gain</w:t>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pPr>
      <w:r w:rsidDel="00000000" w:rsidR="00000000" w:rsidRPr="00000000">
        <w:rPr>
          <w:rtl w:val="0"/>
        </w:rPr>
        <w:t xml:space="preserve">Tipo: Numeric</w:t>
      </w:r>
    </w:p>
    <w:p w:rsidR="00000000" w:rsidDel="00000000" w:rsidP="00000000" w:rsidRDefault="00000000" w:rsidRPr="00000000" w14:paraId="00000006">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ind w:left="360" w:firstLine="0"/>
        <w:rPr>
          <w:b w:val="1"/>
          <w:bCs w:val="1"/>
        </w:rPr>
      </w:pPr>
      <w:r w:rsidDel="00000000" w:rsidR="00000000" w:rsidRPr="00000000">
        <w:rPr>
          <w:b w:val="1"/>
          <w:bCs w:val="1"/>
          <w:rtl w:val="0"/>
        </w:rPr>
        <w:t xml:space="preserve">Fórmula: capital_gain - capital_loss</w:t>
      </w:r>
    </w:p>
    <w:p w:rsidR="00000000" w:rsidDel="00000000" w:rsidP="00000000" w:rsidRDefault="00000000" w:rsidRPr="00000000" w14:paraId="00000007">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pPr>
      <w:r w:rsidDel="00000000" w:rsidR="00000000" w:rsidRPr="00000000">
        <w:rPr>
          <w:rtl w:val="0"/>
        </w:rPr>
        <w:t xml:space="preserve">Calcula la diferencia entre las ganancias y las pérdidas de capital.</w:t>
      </w:r>
    </w:p>
    <w:p w:rsidR="00000000" w:rsidDel="00000000" w:rsidP="00000000" w:rsidRDefault="00000000" w:rsidRPr="00000000" w14:paraId="00000008">
      <w:pPr>
        <w:pBdr>
          <w:top w:color="000000" w:space="0" w:sz="0" w:val="none"/>
          <w:left w:color="000000" w:space="0" w:sz="0" w:val="none"/>
          <w:bottom w:color="000000" w:space="0" w:sz="0" w:val="none"/>
          <w:right w:color="000000" w:space="0" w:sz="0" w:val="none"/>
          <w:between w:color="000000" w:space="0" w:sz="0" w:val="none"/>
        </w:pBdr>
        <w:shd w:fill="ffffff" w:val="clear"/>
        <w:spacing w:before="200" w:lineRule="auto"/>
        <w:rPr>
          <w:b w:val="1"/>
          <w:bCs w:val="1"/>
          <w:color w:val="4f81bd"/>
          <w:sz w:val="26"/>
          <w:szCs w:val="26"/>
        </w:rPr>
      </w:pPr>
      <w:r w:rsidDel="00000000" w:rsidR="00000000" w:rsidRPr="00000000">
        <w:rPr>
          <w:b w:val="1"/>
          <w:bCs w:val="1"/>
          <w:color w:val="4f81bd"/>
          <w:sz w:val="26"/>
          <w:szCs w:val="26"/>
          <w:rtl w:val="0"/>
        </w:rPr>
        <w:t xml:space="preserve">4.2. capital_per_hour</w:t>
      </w:r>
    </w:p>
    <w:p w:rsidR="00000000" w:rsidDel="00000000" w:rsidP="00000000" w:rsidRDefault="00000000" w:rsidRPr="00000000" w14:paraId="00000009">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pPr>
      <w:r w:rsidDel="00000000" w:rsidR="00000000" w:rsidRPr="00000000">
        <w:rPr>
          <w:rtl w:val="0"/>
        </w:rPr>
        <w:t xml:space="preserve">Tipo: Numeric</w:t>
      </w:r>
    </w:p>
    <w:p w:rsidR="00000000" w:rsidDel="00000000" w:rsidP="00000000" w:rsidRDefault="00000000" w:rsidRPr="00000000" w14:paraId="0000000A">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ind w:left="360" w:firstLine="0"/>
        <w:rPr>
          <w:b w:val="1"/>
          <w:bCs w:val="1"/>
        </w:rPr>
      </w:pPr>
      <w:r w:rsidDel="00000000" w:rsidR="00000000" w:rsidRPr="00000000">
        <w:rPr>
          <w:b w:val="1"/>
          <w:bCs w:val="1"/>
          <w:rtl w:val="0"/>
        </w:rPr>
        <w:t xml:space="preserve">Fórmula: capital_gain / (hours_per_week + 1)</w:t>
      </w:r>
    </w:p>
    <w:p w:rsidR="00000000" w:rsidDel="00000000" w:rsidP="00000000" w:rsidRDefault="00000000" w:rsidRPr="00000000" w14:paraId="0000000B">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pPr>
      <w:r w:rsidDel="00000000" w:rsidR="00000000" w:rsidRPr="00000000">
        <w:rPr>
          <w:rtl w:val="0"/>
        </w:rPr>
        <w:t xml:space="preserve">Relaciona las ganancias de capital con las horas trabajadas por semana. Se suma 1 al denominador para evitar dividir por cero.</w:t>
      </w:r>
    </w:p>
    <w:p w:rsidR="00000000" w:rsidDel="00000000" w:rsidP="00000000" w:rsidRDefault="00000000" w:rsidRPr="00000000" w14:paraId="0000000C">
      <w:pPr>
        <w:pBdr>
          <w:top w:color="000000" w:space="0" w:sz="0" w:val="none"/>
          <w:left w:color="000000" w:space="0" w:sz="0" w:val="none"/>
          <w:bottom w:color="000000" w:space="0" w:sz="0" w:val="none"/>
          <w:right w:color="000000" w:space="0" w:sz="0" w:val="none"/>
          <w:between w:color="000000" w:space="0" w:sz="0" w:val="none"/>
        </w:pBdr>
        <w:shd w:fill="ffffff" w:val="clear"/>
        <w:spacing w:before="200" w:lineRule="auto"/>
        <w:rPr>
          <w:b w:val="1"/>
          <w:bCs w:val="1"/>
          <w:color w:val="4f81bd"/>
          <w:sz w:val="26"/>
          <w:szCs w:val="26"/>
        </w:rPr>
      </w:pPr>
      <w:r w:rsidDel="00000000" w:rsidR="00000000" w:rsidRPr="00000000">
        <w:rPr>
          <w:b w:val="1"/>
          <w:bCs w:val="1"/>
          <w:color w:val="4f81bd"/>
          <w:sz w:val="26"/>
          <w:szCs w:val="26"/>
          <w:rtl w:val="0"/>
        </w:rPr>
        <w:t xml:space="preserve">4.3. annual_hours</w:t>
      </w:r>
    </w:p>
    <w:p w:rsidR="00000000" w:rsidDel="00000000" w:rsidP="00000000" w:rsidRDefault="00000000" w:rsidRPr="00000000" w14:paraId="0000000D">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pPr>
      <w:r w:rsidDel="00000000" w:rsidR="00000000" w:rsidRPr="00000000">
        <w:rPr>
          <w:rtl w:val="0"/>
        </w:rPr>
        <w:t xml:space="preserve">Tipo: Numeric</w:t>
      </w:r>
    </w:p>
    <w:p w:rsidR="00000000" w:rsidDel="00000000" w:rsidP="00000000" w:rsidRDefault="00000000" w:rsidRPr="00000000" w14:paraId="0000000E">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ind w:left="360" w:firstLine="0"/>
        <w:rPr>
          <w:b w:val="1"/>
          <w:bCs w:val="1"/>
        </w:rPr>
      </w:pPr>
      <w:r w:rsidDel="00000000" w:rsidR="00000000" w:rsidRPr="00000000">
        <w:rPr>
          <w:b w:val="1"/>
          <w:bCs w:val="1"/>
          <w:rtl w:val="0"/>
        </w:rPr>
        <w:t xml:space="preserve">Fórmula: hours_per_week * 52</w:t>
      </w:r>
    </w:p>
    <w:p w:rsidR="00000000" w:rsidDel="00000000" w:rsidP="00000000" w:rsidRDefault="00000000" w:rsidRPr="00000000" w14:paraId="0000000F">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pPr>
      <w:r w:rsidDel="00000000" w:rsidR="00000000" w:rsidRPr="00000000">
        <w:rPr>
          <w:rtl w:val="0"/>
        </w:rPr>
        <w:t xml:space="preserve">Estima las horas de trabajo anuales a partir de las horas semanales, suponiendo 52 semanas.</w:t>
      </w:r>
    </w:p>
    <w:p w:rsidR="00000000" w:rsidDel="00000000" w:rsidP="00000000" w:rsidRDefault="00000000" w:rsidRPr="00000000" w14:paraId="00000010">
      <w:pPr>
        <w:pBdr>
          <w:top w:color="000000" w:space="0" w:sz="0" w:val="none"/>
          <w:left w:color="000000" w:space="0" w:sz="0" w:val="none"/>
          <w:bottom w:color="000000" w:space="0" w:sz="0" w:val="none"/>
          <w:right w:color="000000" w:space="0" w:sz="0" w:val="none"/>
          <w:between w:color="000000" w:space="0" w:sz="0" w:val="none"/>
        </w:pBdr>
        <w:shd w:fill="ffffff" w:val="clear"/>
        <w:spacing w:before="200" w:lineRule="auto"/>
        <w:rPr>
          <w:b w:val="1"/>
          <w:bCs w:val="1"/>
          <w:color w:val="4f81bd"/>
          <w:sz w:val="26"/>
          <w:szCs w:val="26"/>
        </w:rPr>
      </w:pPr>
      <w:r w:rsidDel="00000000" w:rsidR="00000000" w:rsidRPr="00000000">
        <w:rPr>
          <w:b w:val="1"/>
          <w:bCs w:val="1"/>
          <w:color w:val="4f81bd"/>
          <w:sz w:val="26"/>
          <w:szCs w:val="26"/>
          <w:rtl w:val="0"/>
        </w:rPr>
        <w:t xml:space="preserve">4.4. is_overwork</w:t>
      </w:r>
    </w:p>
    <w:p w:rsidR="00000000" w:rsidDel="00000000" w:rsidP="00000000" w:rsidRDefault="00000000" w:rsidRPr="00000000" w14:paraId="00000011">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pPr>
      <w:r w:rsidDel="00000000" w:rsidR="00000000" w:rsidRPr="00000000">
        <w:rPr>
          <w:rtl w:val="0"/>
        </w:rPr>
        <w:t xml:space="preserve">Tipo: Categorical</w:t>
      </w:r>
    </w:p>
    <w:p w:rsidR="00000000" w:rsidDel="00000000" w:rsidP="00000000" w:rsidRDefault="00000000" w:rsidRPr="00000000" w14:paraId="00000012">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ind w:left="360" w:firstLine="0"/>
        <w:rPr>
          <w:b w:val="1"/>
          <w:bCs w:val="1"/>
        </w:rPr>
      </w:pPr>
      <w:r w:rsidDel="00000000" w:rsidR="00000000" w:rsidRPr="00000000">
        <w:rPr>
          <w:b w:val="1"/>
          <w:bCs w:val="1"/>
          <w:rtl w:val="0"/>
        </w:rPr>
        <w:t xml:space="preserve">Fórmula: 1 if hours_per_week &gt; 45 else 0</w:t>
      </w:r>
    </w:p>
    <w:p w:rsidR="00000000" w:rsidDel="00000000" w:rsidP="00000000" w:rsidRDefault="00000000" w:rsidRPr="00000000" w14:paraId="00000013">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pPr>
      <w:r w:rsidDel="00000000" w:rsidR="00000000" w:rsidRPr="00000000">
        <w:rPr>
          <w:rtl w:val="0"/>
        </w:rPr>
        <w:t xml:space="preserve">Toma el valor 1 cuando la persona trabaja más de 45 horas semanales y 0 en caso contrario.</w:t>
      </w:r>
    </w:p>
    <w:p w:rsidR="00000000" w:rsidDel="00000000" w:rsidP="00000000" w:rsidRDefault="00000000" w:rsidRPr="00000000" w14:paraId="00000014">
      <w:pPr>
        <w:spacing w:after="200" w:line="276" w:lineRule="auto"/>
        <w:jc w:val="center"/>
        <w:rPr/>
      </w:pPr>
      <w:r w:rsidDel="00000000" w:rsidR="00000000" w:rsidRPr="00000000">
        <w:rPr>
          <w:sz w:val="21"/>
          <w:szCs w:val="21"/>
        </w:rPr>
        <w:drawing>
          <wp:inline distB="114300" distT="114300" distL="114300" distR="114300">
            <wp:extent cx="3219450" cy="866775"/>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219450" cy="866775"/>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pBdr>
          <w:top w:color="000000" w:space="0" w:sz="0" w:val="none"/>
          <w:left w:color="000000" w:space="0" w:sz="0" w:val="none"/>
          <w:bottom w:color="000000" w:space="0" w:sz="0" w:val="none"/>
          <w:right w:color="000000" w:space="0" w:sz="0" w:val="none"/>
          <w:between w:color="000000" w:space="0" w:sz="0" w:val="none"/>
        </w:pBdr>
        <w:shd w:fill="ffffff" w:val="clear"/>
        <w:spacing w:before="480" w:lineRule="auto"/>
        <w:rPr>
          <w:b w:val="1"/>
          <w:bCs w:val="1"/>
          <w:color w:val="365f91"/>
          <w:sz w:val="28"/>
          <w:szCs w:val="28"/>
        </w:rPr>
      </w:pPr>
      <w:r w:rsidDel="00000000" w:rsidR="00000000" w:rsidRPr="00000000">
        <w:rPr>
          <w:b w:val="1"/>
          <w:bCs w:val="1"/>
          <w:color w:val="365f91"/>
          <w:sz w:val="28"/>
          <w:szCs w:val="28"/>
          <w:rtl w:val="0"/>
        </w:rPr>
        <w:t xml:space="preserve">5. Evaluación después de Feature Engineering</w:t>
      </w:r>
    </w:p>
    <w:p w:rsidR="00000000" w:rsidDel="00000000" w:rsidP="00000000" w:rsidRDefault="00000000" w:rsidRPr="00000000" w14:paraId="00000016">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pPr>
      <w:r w:rsidDel="00000000" w:rsidR="00000000" w:rsidRPr="00000000">
        <w:rPr>
          <w:rtl w:val="0"/>
        </w:rPr>
        <w:t xml:space="preserve">Después de aplicar Formula, se volvió a ejecutar Test &amp; Score con Logistic Regression, Random Forest y Naive Bayes. Los resultados compartidos son:</w:t>
      </w:r>
    </w:p>
    <w:tbl>
      <w:tblPr>
        <w:tblStyle w:val="Table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1230"/>
        <w:gridCol w:w="1230"/>
        <w:gridCol w:w="1230"/>
        <w:gridCol w:w="1335"/>
        <w:gridCol w:w="1230"/>
        <w:gridCol w:w="1230"/>
        <w:tblGridChange w:id="0">
          <w:tblGrid>
            <w:gridCol w:w="1380"/>
            <w:gridCol w:w="1230"/>
            <w:gridCol w:w="1230"/>
            <w:gridCol w:w="1230"/>
            <w:gridCol w:w="1335"/>
            <w:gridCol w:w="1230"/>
            <w:gridCol w:w="1230"/>
          </w:tblGrid>
        </w:tblGridChange>
      </w:tblGrid>
      <w:tr>
        <w:trPr>
          <w:cantSplit w:val="0"/>
          <w:trHeight w:val="240" w:hRule="atLeast"/>
          <w:tblHeader w:val="0"/>
        </w:trPr>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7">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Modelo</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8">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AUC</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9">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CA</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A">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F1</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B">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Precision</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C">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Recall</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D">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MCC</w:t>
            </w:r>
          </w:p>
        </w:tc>
      </w:tr>
      <w:tr>
        <w:trPr>
          <w:cantSplit w:val="0"/>
          <w:trHeight w:val="465" w:hRule="atLeast"/>
          <w:tblHeader w:val="0"/>
        </w:trPr>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E">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Logistic Regression</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F">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0.927</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0">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0.912</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1">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0.903</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2">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0.901</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3">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0.912</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4">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0.475</w:t>
            </w:r>
          </w:p>
        </w:tc>
      </w:tr>
      <w:tr>
        <w:trPr>
          <w:cantSplit w:val="0"/>
          <w:trHeight w:val="465" w:hRule="atLeast"/>
          <w:tblHeader w:val="0"/>
        </w:trPr>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5">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Random Forest</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6">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0.900</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7">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0.908</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8">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0.899</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9">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0.896</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A">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0.908</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B">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0.453</w:t>
            </w:r>
          </w:p>
        </w:tc>
      </w:tr>
      <w:tr>
        <w:trPr>
          <w:cantSplit w:val="0"/>
          <w:trHeight w:val="240" w:hRule="atLeast"/>
          <w:tblHeader w:val="0"/>
        </w:trPr>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C">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Naive Bayes</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D">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0.829</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E">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0.823</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F">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0.846</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0">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0.885</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1">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0.823</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2">
            <w:pPr>
              <w:pBdr>
                <w:top w:color="000000" w:space="0" w:sz="0" w:val="none"/>
                <w:left w:color="000000" w:space="0" w:sz="0" w:val="none"/>
                <w:bottom w:color="000000" w:space="0" w:sz="0" w:val="none"/>
                <w:right w:color="000000" w:space="0" w:sz="0" w:val="none"/>
                <w:between w:color="000000" w:space="0" w:sz="0" w:val="none"/>
              </w:pBdr>
              <w:spacing w:line="240" w:lineRule="auto"/>
              <w:rPr>
                <w:color w:val="365f91"/>
              </w:rPr>
            </w:pPr>
            <w:r w:rsidDel="00000000" w:rsidR="00000000" w:rsidRPr="00000000">
              <w:rPr>
                <w:color w:val="365f91"/>
                <w:rtl w:val="0"/>
              </w:rPr>
              <w:t xml:space="preserve">0.382</w:t>
            </w:r>
          </w:p>
        </w:tc>
      </w:tr>
    </w:tbl>
    <w:p w:rsidR="00000000" w:rsidDel="00000000" w:rsidP="00000000" w:rsidRDefault="00000000" w:rsidRPr="00000000" w14:paraId="00000033">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pPr>
      <w:r w:rsidDel="00000000" w:rsidR="00000000" w:rsidRPr="00000000">
        <w:rPr>
          <w:rtl w:val="0"/>
        </w:rPr>
        <w:t xml:space="preserve">Logistic Regression obtuvo el AUC más alto (0.927), así como los mejores CA (0.912), F1 (0.903) y Recall (0.912). Random Forest quedó cerca, con CA de 0.908 y F1 de 0.899. Naive Bayes tuvo AUC (0.829), CA (0.823) y MCC (0.382) inferiores, aunque su Precision fue 0.885.</w:t>
      </w:r>
    </w:p>
    <w:p w:rsidR="00000000" w:rsidDel="00000000" w:rsidP="00000000" w:rsidRDefault="00000000" w:rsidRPr="00000000" w14:paraId="00000034">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jc w:val="center"/>
        <w:rPr/>
      </w:pPr>
      <w:r w:rsidDel="00000000" w:rsidR="00000000" w:rsidRPr="00000000">
        <w:rPr/>
        <w:drawing>
          <wp:inline distB="114300" distT="114300" distL="114300" distR="114300">
            <wp:extent cx="4748213" cy="1341098"/>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748213" cy="1341098"/>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pBdr>
          <w:top w:color="000000" w:space="0" w:sz="0" w:val="none"/>
          <w:left w:color="000000" w:space="0" w:sz="0" w:val="none"/>
          <w:bottom w:color="000000" w:space="0" w:sz="0" w:val="none"/>
          <w:right w:color="000000" w:space="0" w:sz="0" w:val="none"/>
          <w:between w:color="000000" w:space="0" w:sz="0" w:val="none"/>
        </w:pBdr>
        <w:shd w:fill="ffffff" w:val="clear"/>
        <w:spacing w:before="480" w:lineRule="auto"/>
        <w:rPr>
          <w:b w:val="1"/>
          <w:bCs w:val="1"/>
          <w:color w:val="365f91"/>
          <w:sz w:val="28"/>
          <w:szCs w:val="28"/>
        </w:rPr>
      </w:pPr>
      <w:r w:rsidDel="00000000" w:rsidR="00000000" w:rsidRPr="00000000">
        <w:rPr>
          <w:b w:val="1"/>
          <w:bCs w:val="1"/>
          <w:color w:val="365f91"/>
          <w:sz w:val="28"/>
          <w:szCs w:val="28"/>
          <w:rtl w:val="0"/>
        </w:rPr>
        <w:t xml:space="preserve">6. Matriz de confusión y análisis ROC</w:t>
      </w:r>
    </w:p>
    <w:p w:rsidR="00000000" w:rsidDel="00000000" w:rsidP="00000000" w:rsidRDefault="00000000" w:rsidRPr="00000000" w14:paraId="00000036">
      <w:pPr>
        <w:pBdr>
          <w:top w:color="000000" w:space="0" w:sz="0" w:val="none"/>
          <w:left w:color="000000" w:space="0" w:sz="0" w:val="none"/>
          <w:bottom w:color="000000" w:space="0" w:sz="0" w:val="none"/>
          <w:right w:color="000000" w:space="0" w:sz="0" w:val="none"/>
          <w:between w:color="000000" w:space="0" w:sz="0" w:val="none"/>
        </w:pBdr>
        <w:shd w:fill="ffffff" w:val="clear"/>
        <w:spacing w:before="200" w:lineRule="auto"/>
        <w:rPr>
          <w:b w:val="1"/>
          <w:bCs w:val="1"/>
          <w:color w:val="4f81bd"/>
          <w:sz w:val="26"/>
          <w:szCs w:val="26"/>
        </w:rPr>
      </w:pPr>
      <w:r w:rsidDel="00000000" w:rsidR="00000000" w:rsidRPr="00000000">
        <w:rPr>
          <w:b w:val="1"/>
          <w:bCs w:val="1"/>
          <w:color w:val="4f81bd"/>
          <w:sz w:val="26"/>
          <w:szCs w:val="26"/>
          <w:rtl w:val="0"/>
        </w:rPr>
        <w:t xml:space="preserve">6.1. Confusion Matrix</w:t>
      </w:r>
    </w:p>
    <w:p w:rsidR="00000000" w:rsidDel="00000000" w:rsidP="00000000" w:rsidRDefault="00000000" w:rsidRPr="00000000" w14:paraId="00000037">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pPr>
      <w:r w:rsidDel="00000000" w:rsidR="00000000" w:rsidRPr="00000000">
        <w:rPr>
          <w:rtl w:val="0"/>
        </w:rPr>
        <w:t xml:space="preserve">La matriz muestra 714 casos negativos correctamente clasificados como “no” y 43 casos positivos correctamente clasificados como “yes”. También hay 19 falsos positivos y 47 falsos negativos, sobre un total de 823 casos. El modelo clasifica correctamente muchos casos negativos, pero no detecta todos los casos positivos.</w:t>
      </w:r>
    </w:p>
    <w:p w:rsidR="00000000" w:rsidDel="00000000" w:rsidP="00000000" w:rsidRDefault="00000000" w:rsidRPr="00000000" w14:paraId="00000038">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jc w:val="center"/>
        <w:rPr/>
      </w:pPr>
      <w:r w:rsidDel="00000000" w:rsidR="00000000" w:rsidRPr="00000000">
        <w:rPr/>
        <w:drawing>
          <wp:inline distB="114300" distT="114300" distL="114300" distR="114300">
            <wp:extent cx="3199497" cy="1692487"/>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199497" cy="1692487"/>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pBdr>
          <w:top w:color="000000" w:space="0" w:sz="0" w:val="none"/>
          <w:left w:color="000000" w:space="0" w:sz="0" w:val="none"/>
          <w:bottom w:color="000000" w:space="0" w:sz="0" w:val="none"/>
          <w:right w:color="000000" w:space="0" w:sz="0" w:val="none"/>
          <w:between w:color="000000" w:space="0" w:sz="0" w:val="none"/>
        </w:pBdr>
        <w:shd w:fill="ffffff" w:val="clear"/>
        <w:spacing w:before="200" w:lineRule="auto"/>
        <w:rPr>
          <w:b w:val="1"/>
          <w:bCs w:val="1"/>
          <w:color w:val="4f81bd"/>
          <w:sz w:val="26"/>
          <w:szCs w:val="26"/>
        </w:rPr>
      </w:pPr>
      <w:r w:rsidDel="00000000" w:rsidR="00000000" w:rsidRPr="00000000">
        <w:rPr>
          <w:b w:val="1"/>
          <w:bCs w:val="1"/>
          <w:color w:val="4f81bd"/>
          <w:sz w:val="26"/>
          <w:szCs w:val="26"/>
          <w:rtl w:val="0"/>
        </w:rPr>
        <w:t xml:space="preserve">6.2. ROC Analysis</w:t>
      </w:r>
    </w:p>
    <w:p w:rsidR="00000000" w:rsidDel="00000000" w:rsidP="00000000" w:rsidRDefault="00000000" w:rsidRPr="00000000" w14:paraId="0000003A">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pPr>
      <w:r w:rsidDel="00000000" w:rsidR="00000000" w:rsidRPr="00000000">
        <w:rPr>
          <w:rtl w:val="0"/>
        </w:rPr>
        <w:t xml:space="preserve">Según la revisión en Orange, las curvas ROC de Logistic Regression y Random Forest aparecen prácticamente empatadas, mientras que Naive Bayes presenta un desempeño inferior. Esto es consistente con los AUC informados en Test &amp; Score: 0.927, 0.900 y 0.829, respectivamente.</w:t>
      </w:r>
    </w:p>
    <w:p w:rsidR="00000000" w:rsidDel="00000000" w:rsidP="00000000" w:rsidRDefault="00000000" w:rsidRPr="00000000" w14:paraId="0000003B">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jc w:val="center"/>
        <w:rPr/>
      </w:pPr>
      <w:r w:rsidDel="00000000" w:rsidR="00000000" w:rsidRPr="00000000">
        <w:rPr/>
        <w:drawing>
          <wp:inline distB="114300" distT="114300" distL="114300" distR="114300">
            <wp:extent cx="5943600" cy="4038600"/>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pBdr>
          <w:top w:color="000000" w:space="0" w:sz="0" w:val="none"/>
          <w:left w:color="000000" w:space="0" w:sz="0" w:val="none"/>
          <w:bottom w:color="000000" w:space="0" w:sz="0" w:val="none"/>
          <w:right w:color="000000" w:space="0" w:sz="0" w:val="none"/>
          <w:between w:color="000000" w:space="0" w:sz="0" w:val="none"/>
        </w:pBdr>
        <w:shd w:fill="ffffff" w:val="clear"/>
        <w:spacing w:before="480" w:lineRule="auto"/>
        <w:rPr>
          <w:b w:val="1"/>
          <w:bCs w:val="1"/>
          <w:color w:val="365f91"/>
          <w:sz w:val="28"/>
          <w:szCs w:val="28"/>
        </w:rPr>
      </w:pPr>
      <w:r w:rsidDel="00000000" w:rsidR="00000000" w:rsidRPr="00000000">
        <w:rPr>
          <w:b w:val="1"/>
          <w:bCs w:val="1"/>
          <w:color w:val="365f91"/>
          <w:sz w:val="28"/>
          <w:szCs w:val="28"/>
          <w:rtl w:val="0"/>
        </w:rPr>
        <w:t xml:space="preserve">8. Preguntas de reflexión de negocio</w:t>
      </w:r>
    </w:p>
    <w:p w:rsidR="00000000" w:rsidDel="00000000" w:rsidP="00000000" w:rsidRDefault="00000000" w:rsidRPr="00000000" w14:paraId="0000003D">
      <w:pPr>
        <w:pBdr>
          <w:top w:color="000000" w:space="0" w:sz="0" w:val="none"/>
          <w:left w:color="000000" w:space="0" w:sz="0" w:val="none"/>
          <w:bottom w:color="000000" w:space="0" w:sz="0" w:val="none"/>
          <w:right w:color="000000" w:space="0" w:sz="0" w:val="none"/>
          <w:between w:color="000000" w:space="0" w:sz="0" w:val="none"/>
        </w:pBdr>
        <w:shd w:fill="ffffff" w:val="clear"/>
        <w:spacing w:before="200" w:lineRule="auto"/>
        <w:rPr>
          <w:b w:val="1"/>
          <w:bCs w:val="1"/>
          <w:color w:val="4f81bd"/>
          <w:sz w:val="26"/>
          <w:szCs w:val="26"/>
        </w:rPr>
      </w:pPr>
      <w:r w:rsidDel="00000000" w:rsidR="00000000" w:rsidRPr="00000000">
        <w:rPr>
          <w:b w:val="1"/>
          <w:bCs w:val="1"/>
          <w:color w:val="4f81bd"/>
          <w:sz w:val="26"/>
          <w:szCs w:val="26"/>
          <w:rtl w:val="0"/>
        </w:rPr>
        <w:t xml:space="preserve">8.1. ¿Qué algoritmo se benefició más de las nuevas variables?</w:t>
      </w:r>
    </w:p>
    <w:p w:rsidR="00000000" w:rsidDel="00000000" w:rsidP="00000000" w:rsidRDefault="00000000" w:rsidRPr="00000000" w14:paraId="0000003E">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pPr>
      <w:r w:rsidDel="00000000" w:rsidR="00000000" w:rsidRPr="00000000">
        <w:rPr>
          <w:rtl w:val="0"/>
        </w:rPr>
        <w:t xml:space="preserve">Con los resultados finales disponibles, Logistic Regression presenta las mejores métricas generales en AUC, Accuracy, F1 y Recall. Sin embargo, para determinar qué algoritmo se benefició más del Feature Engineering, hay que compararlo con su propio resultado del Baseline. El mejor resultado final no necesariamente implica la mayor mejora.</w:t>
      </w:r>
    </w:p>
    <w:p w:rsidR="00000000" w:rsidDel="00000000" w:rsidP="00000000" w:rsidRDefault="00000000" w:rsidRPr="00000000" w14:paraId="0000003F">
      <w:pPr>
        <w:pBdr>
          <w:top w:color="000000" w:space="0" w:sz="0" w:val="none"/>
          <w:left w:color="000000" w:space="0" w:sz="0" w:val="none"/>
          <w:bottom w:color="000000" w:space="0" w:sz="0" w:val="none"/>
          <w:right w:color="000000" w:space="0" w:sz="0" w:val="none"/>
          <w:between w:color="000000" w:space="0" w:sz="0" w:val="none"/>
        </w:pBdr>
        <w:shd w:fill="ffffff" w:val="clear"/>
        <w:spacing w:before="200" w:lineRule="auto"/>
        <w:rPr>
          <w:b w:val="1"/>
          <w:bCs w:val="1"/>
          <w:color w:val="4f81bd"/>
          <w:sz w:val="26"/>
          <w:szCs w:val="26"/>
        </w:rPr>
      </w:pPr>
      <w:r w:rsidDel="00000000" w:rsidR="00000000" w:rsidRPr="00000000">
        <w:rPr>
          <w:b w:val="1"/>
          <w:bCs w:val="1"/>
          <w:color w:val="4f81bd"/>
          <w:sz w:val="26"/>
          <w:szCs w:val="26"/>
          <w:rtl w:val="0"/>
        </w:rPr>
        <w:t xml:space="preserve">8.2. ¿Por qué net_capital_gain puede ser útil para Marketing o Riesgo?</w:t>
      </w:r>
    </w:p>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pPr>
      <w:r w:rsidDel="00000000" w:rsidR="00000000" w:rsidRPr="00000000">
        <w:rPr>
          <w:rtl w:val="0"/>
        </w:rPr>
        <w:t xml:space="preserve">net_capital_gain resume las ganancias y pérdidas de capital en una única medida neta. Esto facilita interpretar ambas cantidades en conjunto y puede ayudar a segmentar usuarios. No equivale al ingreso total ni demuestra por sí sola la capacidad de pago, por lo que debe considerarse junto con otras variables.</w:t>
      </w:r>
    </w:p>
    <w:p w:rsidR="00000000" w:rsidDel="00000000" w:rsidP="00000000" w:rsidRDefault="00000000" w:rsidRPr="00000000" w14:paraId="00000041">
      <w:pPr>
        <w:pBdr>
          <w:top w:color="000000" w:space="0" w:sz="0" w:val="none"/>
          <w:left w:color="000000" w:space="0" w:sz="0" w:val="none"/>
          <w:bottom w:color="000000" w:space="0" w:sz="0" w:val="none"/>
          <w:right w:color="000000" w:space="0" w:sz="0" w:val="none"/>
          <w:between w:color="000000" w:space="0" w:sz="0" w:val="none"/>
        </w:pBdr>
        <w:shd w:fill="ffffff" w:val="clear"/>
        <w:spacing w:before="200" w:lineRule="auto"/>
        <w:rPr>
          <w:b w:val="1"/>
          <w:bCs w:val="1"/>
          <w:color w:val="4f81bd"/>
          <w:sz w:val="26"/>
          <w:szCs w:val="26"/>
        </w:rPr>
      </w:pPr>
      <w:r w:rsidDel="00000000" w:rsidR="00000000" w:rsidRPr="00000000">
        <w:rPr>
          <w:b w:val="1"/>
          <w:bCs w:val="1"/>
          <w:color w:val="4f81bd"/>
          <w:sz w:val="26"/>
          <w:szCs w:val="26"/>
          <w:rtl w:val="0"/>
        </w:rPr>
        <w:t xml:space="preserve">8.3. ¿Qué riesgos tiene usar is_overwork para aprobar créditos automáticamente?</w:t>
      </w:r>
    </w:p>
    <w:p w:rsidR="00000000" w:rsidDel="00000000" w:rsidP="00000000" w:rsidRDefault="00000000" w:rsidRPr="00000000" w14:paraId="00000042">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pPr>
      <w:r w:rsidDel="00000000" w:rsidR="00000000" w:rsidRPr="00000000">
        <w:rPr>
          <w:rtl w:val="0"/>
        </w:rPr>
        <w:t xml:space="preserve">Trabajar más de 45 horas semanales no garantiza ingresos altos ni capacidad para devolver un préstamo. Una regla automática basada en esta variable podría perjudicar a personas con jornadas más cortas pero buenos ingresos, o a quienes tienen otras fuentes de ingresos. No debería ser el único criterio y deben revisarse posibles sesgos.</w:t>
      </w:r>
    </w:p>
    <w:p w:rsidR="00000000" w:rsidDel="00000000" w:rsidP="00000000" w:rsidRDefault="00000000" w:rsidRPr="00000000" w14:paraId="00000043">
      <w:pPr>
        <w:pBdr>
          <w:top w:color="000000" w:space="0" w:sz="0" w:val="none"/>
          <w:left w:color="000000" w:space="0" w:sz="0" w:val="none"/>
          <w:bottom w:color="000000" w:space="0" w:sz="0" w:val="none"/>
          <w:right w:color="000000" w:space="0" w:sz="0" w:val="none"/>
          <w:between w:color="000000" w:space="0" w:sz="0" w:val="none"/>
        </w:pBdr>
        <w:shd w:fill="ffffff" w:val="clear"/>
        <w:spacing w:before="200" w:lineRule="auto"/>
        <w:rPr>
          <w:b w:val="1"/>
          <w:bCs w:val="1"/>
          <w:color w:val="4f81bd"/>
          <w:sz w:val="26"/>
          <w:szCs w:val="26"/>
        </w:rPr>
      </w:pPr>
      <w:r w:rsidDel="00000000" w:rsidR="00000000" w:rsidRPr="00000000">
        <w:rPr>
          <w:b w:val="1"/>
          <w:bCs w:val="1"/>
          <w:color w:val="4f81bd"/>
          <w:sz w:val="26"/>
          <w:szCs w:val="26"/>
          <w:rtl w:val="0"/>
        </w:rPr>
        <w:t xml:space="preserve">8.4. Propuesta de una variable adicional</w:t>
      </w:r>
    </w:p>
    <w:p w:rsidR="00000000" w:rsidDel="00000000" w:rsidP="00000000" w:rsidRDefault="00000000" w:rsidRPr="00000000" w14:paraId="00000044">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pPr>
      <w:r w:rsidDel="00000000" w:rsidR="00000000" w:rsidRPr="00000000">
        <w:rPr>
          <w:rtl w:val="0"/>
        </w:rPr>
        <w:t xml:space="preserve">Una propuesta es education_per_age = education-num / age. Relacionaría el nivel educativo codificado con la edad para explorar si aporta información adicional sobre los ingresos. Es una hipótesis que habría que probar comparando las métricas antes y después de incorporarla; también se debería evaluar si genera sesgos. Esta variable no forma parte de los resultados actuales.</w:t>
      </w:r>
    </w:p>
    <w:p w:rsidR="00000000" w:rsidDel="00000000" w:rsidP="00000000" w:rsidRDefault="00000000" w:rsidRPr="00000000" w14:paraId="00000045">
      <w:pPr>
        <w:pBdr>
          <w:top w:color="000000" w:space="0" w:sz="0" w:val="none"/>
          <w:left w:color="000000" w:space="0" w:sz="0" w:val="none"/>
          <w:bottom w:color="000000" w:space="0" w:sz="0" w:val="none"/>
          <w:right w:color="000000" w:space="0" w:sz="0" w:val="none"/>
          <w:between w:color="000000" w:space="0" w:sz="0" w:val="none"/>
        </w:pBdr>
        <w:shd w:fill="ffffff" w:val="clear"/>
        <w:spacing w:before="480" w:lineRule="auto"/>
        <w:rPr>
          <w:b w:val="1"/>
          <w:bCs w:val="1"/>
          <w:color w:val="365f91"/>
          <w:sz w:val="28"/>
          <w:szCs w:val="28"/>
        </w:rPr>
      </w:pPr>
      <w:r w:rsidDel="00000000" w:rsidR="00000000" w:rsidRPr="00000000">
        <w:rPr>
          <w:b w:val="1"/>
          <w:bCs w:val="1"/>
          <w:color w:val="365f91"/>
          <w:sz w:val="28"/>
          <w:szCs w:val="28"/>
          <w:rtl w:val="0"/>
        </w:rPr>
        <w:t xml:space="preserve">9. Conclusión</w:t>
      </w:r>
    </w:p>
    <w:p w:rsidR="00000000" w:rsidDel="00000000" w:rsidP="00000000" w:rsidRDefault="00000000" w:rsidRPr="00000000" w14:paraId="00000046">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pPr>
      <w:r w:rsidDel="00000000" w:rsidR="00000000" w:rsidRPr="00000000">
        <w:rPr>
          <w:rtl w:val="0"/>
        </w:rPr>
        <w:t xml:space="preserve">En los resultados finales compartidos, Logistic Regression obtuvo las mejores métricas generales, Random Forest quedó cerca y Naive Bayes mostró menor AUC y Accuracy. La matriz de confusión evidencia tanto falsos positivos como falsos negativos. Para concluir cuánto aportó el Feature Engineering, hay que comparar estos resultados con los valores reales del Baseline. Crear variables nuevas no garantiza mejores predicciones: su utilidad debe verificarse mediante la evaluación de los modelos.</w:t>
      </w:r>
    </w:p>
    <w:p w:rsidR="00000000" w:rsidDel="00000000" w:rsidP="00000000" w:rsidRDefault="00000000" w:rsidRPr="00000000" w14:paraId="0000004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