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E45C5" w14:textId="5F81E94C" w:rsidR="00BA6165" w:rsidRPr="00BA6165" w:rsidRDefault="00BA6165" w:rsidP="00BA6165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To: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NEP Executive Committee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From: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VP Operations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Re: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IoT Alert Triage — Business Case for Automated Response</w:t>
      </w:r>
    </w:p>
    <w:p w14:paraId="317781B7" w14:textId="77777777" w:rsidR="00BA6165" w:rsidRPr="00BA6165" w:rsidRDefault="00BA6165" w:rsidP="00BA6165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The situation in one line: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A successful hardware investment is being neutralized by a manual process gap, and it already cost us real money and risk exposure.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What's at stake:</w:t>
      </w:r>
    </w:p>
    <w:p w14:paraId="50B81994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Financial: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The Tuesday incident alone cost €40,000 in emergency repairs. At current alert volume (hundreds/day), every week of delay carries similar exposure — this is not a one-off, it's a recurring pattern waiting to repeat.</w:t>
      </w:r>
    </w:p>
    <w:p w14:paraId="41BA2346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Safety &amp; Asset Integrity: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Turbines seizing under load risk mechanical damage well beyond immediate repair cost, and in worst cases creates safety exposure for field crews sent to a site under-briefed on true severity.</w:t>
      </w:r>
    </w:p>
    <w:p w14:paraId="1CE80C79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Operational Capacity: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Dispatcher burnout from triaging hundreds of raw emails daily is a retention and quality risk — tired teams miss things, which is exactly what happened.</w:t>
      </w:r>
    </w:p>
    <w:p w14:paraId="0D3341D8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Strategic Timing: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Winter storm season increases both alert volume and turbine stress simultaneously — the exact conditions under which this gap is most dangerous. This needs to be resolved before, not during, peak season.</w:t>
      </w:r>
    </w:p>
    <w:p w14:paraId="0271C4AE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Fleet Complexity, Not Just Volume: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Our turbine fleet spans multiple makes, models, and ages, and what counts as "critical" isn't identical across them. A one-size-fits-all fix would solve today's problem and quietly create tomorrow's — we need this built so severity criteria can evolve as our fleet does, without requiring a rebuild every time.</w:t>
      </w:r>
    </w:p>
    <w:p w14:paraId="6192E614" w14:textId="77777777" w:rsidR="00BA6165" w:rsidRPr="00BA6165" w:rsidRDefault="00BA6165" w:rsidP="00BA6165">
      <w:pPr>
        <w:numPr>
          <w:ilvl w:val="0"/>
          <w:numId w:val="2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Competitive/Reputational: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As a "rapidly growing" sustainable energy provider, NEP's credibility with grid partners and regulators depends on demonstrable operational reliability — an avoidable turbine failure is a hard story to tell customers or investors.</w:t>
      </w:r>
    </w:p>
    <w:p w14:paraId="5B91872D" w14:textId="77777777" w:rsidR="00BA6165" w:rsidRPr="00BA6165" w:rsidRDefault="00BA6165" w:rsidP="00BA6165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14:ligatures w14:val="none"/>
        </w:rPr>
      </w:pP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The ask: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Approve a focused initiative to automate alert triage and escalation on our existing Salesforce platform — leveraging investments we've already made rather than new tooling. This converts a reactive, manual, error-prone process into a proactive, consistent, and auditable one that adapts as our fleet grows and diversifies.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br/>
      </w:r>
      <w:r w:rsidRPr="00BA6165">
        <w:rPr>
          <w:rFonts w:ascii="Times New Roman" w:eastAsia="Times New Roman" w:hAnsi="Times New Roman" w:cs="Times New Roman"/>
          <w:b/>
          <w:bCs/>
          <w:color w:val="1D1C1D"/>
          <w:kern w:val="0"/>
          <w14:ligatures w14:val="none"/>
        </w:rPr>
        <w:t>Expected outcome:</w:t>
      </w:r>
      <w:r w:rsidRPr="00BA6165">
        <w:rPr>
          <w:rFonts w:ascii="Times New Roman" w:eastAsia="Times New Roman" w:hAnsi="Times New Roman" w:cs="Times New Roman"/>
          <w:color w:val="1D1C1D"/>
          <w:kern w:val="0"/>
          <w14:ligatures w14:val="none"/>
        </w:rPr>
        <w:t xml:space="preserve"> Critical issues surface immediately and automatically; low-risk noise stops consuming dispatcher attention; severity logic keeps pace with a changing fleet without repeated rework; and NEP has a defensible, data-backed maintenance history for every asset.</w:t>
      </w:r>
    </w:p>
    <w:p w14:paraId="436C6D51" w14:textId="77777777" w:rsidR="00366635" w:rsidRDefault="00366635"/>
    <w:sectPr w:rsidR="00366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BE304A"/>
    <w:multiLevelType w:val="multilevel"/>
    <w:tmpl w:val="9D56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E2937"/>
    <w:multiLevelType w:val="multilevel"/>
    <w:tmpl w:val="DD9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054096">
    <w:abstractNumId w:val="0"/>
  </w:num>
  <w:num w:numId="2" w16cid:durableId="20147230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165"/>
    <w:rsid w:val="00113C74"/>
    <w:rsid w:val="00366635"/>
    <w:rsid w:val="007A1E4A"/>
    <w:rsid w:val="007E360D"/>
    <w:rsid w:val="00BA6165"/>
    <w:rsid w:val="00C46311"/>
    <w:rsid w:val="00CF0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DEA61"/>
  <w15:chartTrackingRefBased/>
  <w15:docId w15:val="{2AEB3AE9-31B4-EE45-99E4-A2ECC3AF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Hasgard Olesen Hoybye</dc:creator>
  <cp:keywords/>
  <dc:description/>
  <cp:lastModifiedBy>Allan Hasgard Olesen Hoybye</cp:lastModifiedBy>
  <cp:revision>1</cp:revision>
  <dcterms:created xsi:type="dcterms:W3CDTF">2026-09-11T06:19:00Z</dcterms:created>
  <dcterms:modified xsi:type="dcterms:W3CDTF">2026-09-11T06:19:00Z</dcterms:modified>
</cp:coreProperties>
</file>