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DB169" w14:textId="45CF7C62" w:rsidR="00BC20E5" w:rsidRPr="00BC20E5" w:rsidRDefault="00BC20E5" w:rsidP="00BC20E5">
      <w:pPr>
        <w:spacing w:after="0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Nordic </w:t>
      </w:r>
      <w:proofErr w:type="spellStart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>EcoPower</w:t>
      </w:r>
      <w:proofErr w:type="spellEnd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— Salesforce Development &amp; Design Guidelines (v</w:t>
      </w:r>
      <w:r w:rsidR="003C5E67">
        <w:rPr>
          <w:rFonts w:ascii="Salesforce Sans" w:eastAsia="Times New Roman" w:hAnsi="Salesforce Sans" w:cs="Times New Roman"/>
          <w:kern w:val="0"/>
          <w14:ligatures w14:val="none"/>
        </w:rPr>
        <w:t>6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.0)</w:t>
      </w:r>
    </w:p>
    <w:p w14:paraId="4D1BECE0" w14:textId="3CDBDED8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36"/>
          <w:szCs w:val="36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48"/>
          <w:szCs w:val="48"/>
          <w14:ligatures w14:val="none"/>
        </w:rPr>
        <w:br/>
      </w:r>
      <w:r w:rsidRPr="00BC20E5">
        <w:rPr>
          <w:rFonts w:ascii="Salesforce Sans" w:eastAsia="Times New Roman" w:hAnsi="Salesforce Sans" w:cs="Times New Roman"/>
          <w:b/>
          <w:bCs/>
          <w:kern w:val="36"/>
          <w:sz w:val="36"/>
          <w:szCs w:val="36"/>
          <w14:ligatures w14:val="none"/>
        </w:rPr>
        <w:t xml:space="preserve">Nordic </w:t>
      </w:r>
      <w:proofErr w:type="spellStart"/>
      <w:r w:rsidRPr="00BC20E5">
        <w:rPr>
          <w:rFonts w:ascii="Salesforce Sans" w:eastAsia="Times New Roman" w:hAnsi="Salesforce Sans" w:cs="Times New Roman"/>
          <w:b/>
          <w:bCs/>
          <w:kern w:val="36"/>
          <w:sz w:val="36"/>
          <w:szCs w:val="36"/>
          <w14:ligatures w14:val="none"/>
        </w:rPr>
        <w:t>EcoPower</w:t>
      </w:r>
      <w:proofErr w:type="spellEnd"/>
      <w:r w:rsidRPr="00BC20E5">
        <w:rPr>
          <w:rFonts w:ascii="Salesforce Sans" w:eastAsia="Times New Roman" w:hAnsi="Salesforce Sans" w:cs="Times New Roman"/>
          <w:b/>
          <w:bCs/>
          <w:kern w:val="36"/>
          <w:sz w:val="36"/>
          <w:szCs w:val="36"/>
          <w14:ligatures w14:val="none"/>
        </w:rPr>
        <w:t xml:space="preserve">: Salesforce Development Guidelines </w:t>
      </w:r>
    </w:p>
    <w:p w14:paraId="435B1E39" w14:textId="77777777" w:rsidR="00BC20E5" w:rsidRPr="00BC20E5" w:rsidRDefault="00BC20E5" w:rsidP="00BC20E5">
      <w:pPr>
        <w:spacing w:after="0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i/>
          <w:iCs/>
          <w:kern w:val="0"/>
          <w14:ligatures w14:val="none"/>
        </w:rPr>
        <w:t>For all Professional Services engagements delivering configuration, automation, or custom code on the NEP Salesforce org.</w:t>
      </w:r>
    </w:p>
    <w:p w14:paraId="19A34A2D" w14:textId="77777777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t>1. General Design Principles</w:t>
      </w:r>
    </w:p>
    <w:p w14:paraId="28614F2E" w14:textId="77777777" w:rsidR="00BC20E5" w:rsidRPr="00BC20E5" w:rsidRDefault="00BC20E5" w:rsidP="00BC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Declarative-first: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Use Flow, Validation Rules, and configuration before Apex. Apex requires a documented justification (e.g., bulk/async complexity, no declarative equivalent).</w:t>
      </w:r>
    </w:p>
    <w:p w14:paraId="38275F58" w14:textId="77777777" w:rsidR="00BC20E5" w:rsidRPr="00BC20E5" w:rsidRDefault="00BC20E5" w:rsidP="00BC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Bulk-safe by default: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All automation must handle bulk operations (200+ records) without hitting governor limits — no SOQL/DML inside loops, ever.</w:t>
      </w:r>
    </w:p>
    <w:p w14:paraId="59817F52" w14:textId="77777777" w:rsidR="00BC20E5" w:rsidRPr="00BC20E5" w:rsidRDefault="00BC20E5" w:rsidP="00BC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Configurable over hardcoded: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Business thresholds, scoring rules, or values that NEP's own team may reasonably need to change (e.g., risk thresholds per turbine type) must live in custom metadata/settings, not embedded in Flow formulas or Apex constants.</w:t>
      </w:r>
    </w:p>
    <w:p w14:paraId="57FE4A26" w14:textId="77777777" w:rsidR="00BC20E5" w:rsidRPr="00BC20E5" w:rsidRDefault="00BC20E5" w:rsidP="00BC2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Single Responsibility Automation: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One trigger per object, one Flow per major business process — no scattered logic across multiple automations firing on the same object/event.</w:t>
      </w:r>
    </w:p>
    <w:p w14:paraId="25599990" w14:textId="5469157B" w:rsidR="00BC20E5" w:rsidRPr="00947942" w:rsidRDefault="00BC20E5" w:rsidP="00947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Idempotency: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Automation must be safe to re-run without creating duplicate records or </w:t>
      </w:r>
      <w:proofErr w:type="gramStart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>double-escalating</w:t>
      </w:r>
      <w:proofErr w:type="gramEnd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the same event.</w:t>
      </w:r>
      <w:r w:rsidRPr="00947942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br/>
      </w:r>
    </w:p>
    <w:p w14:paraId="13081E47" w14:textId="53C9514C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t>2. Naming Conventions</w:t>
      </w:r>
    </w:p>
    <w:tbl>
      <w:tblPr>
        <w:tblStyle w:val="GridTable1Light"/>
        <w:tblW w:w="10165" w:type="dxa"/>
        <w:tblLook w:val="04A0" w:firstRow="1" w:lastRow="0" w:firstColumn="1" w:lastColumn="0" w:noHBand="0" w:noVBand="1"/>
      </w:tblPr>
      <w:tblGrid>
        <w:gridCol w:w="1279"/>
        <w:gridCol w:w="3604"/>
        <w:gridCol w:w="5282"/>
      </w:tblGrid>
      <w:tr w:rsidR="00BC20E5" w:rsidRPr="00BC20E5" w14:paraId="6AF866FF" w14:textId="77777777" w:rsidTr="00BC2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E497C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3CD5DCA9" w14:textId="77777777" w:rsidR="00BC20E5" w:rsidRPr="00BC20E5" w:rsidRDefault="00BC20E5" w:rsidP="00BC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  <w:t>Convention</w:t>
            </w:r>
          </w:p>
        </w:tc>
        <w:tc>
          <w:tcPr>
            <w:tcW w:w="5358" w:type="dxa"/>
            <w:hideMark/>
          </w:tcPr>
          <w:p w14:paraId="737F053A" w14:textId="77777777" w:rsidR="00BC20E5" w:rsidRPr="00BC20E5" w:rsidRDefault="00BC20E5" w:rsidP="00BC20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BC20E5" w:rsidRPr="00BC20E5" w14:paraId="7241539F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3840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Custom Object</w:t>
            </w:r>
          </w:p>
        </w:tc>
        <w:tc>
          <w:tcPr>
            <w:tcW w:w="0" w:type="auto"/>
            <w:hideMark/>
          </w:tcPr>
          <w:p w14:paraId="0F3ED395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NEP_[Noun]__c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 (singular)</w:t>
            </w:r>
          </w:p>
        </w:tc>
        <w:tc>
          <w:tcPr>
            <w:tcW w:w="5358" w:type="dxa"/>
            <w:hideMark/>
          </w:tcPr>
          <w:p w14:paraId="7847B6EB" w14:textId="1E913DDF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SensorReading</w:t>
            </w:r>
            <w:proofErr w:type="spellEnd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__c</w:t>
            </w:r>
          </w:p>
        </w:tc>
      </w:tr>
      <w:tr w:rsidR="00BC20E5" w:rsidRPr="00BC20E5" w14:paraId="3A362B36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1FD83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Custom Field</w:t>
            </w:r>
          </w:p>
        </w:tc>
        <w:tc>
          <w:tcPr>
            <w:tcW w:w="0" w:type="auto"/>
            <w:hideMark/>
          </w:tcPr>
          <w:p w14:paraId="489B13D5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[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Descriptive_</w:t>
            </w:r>
            <w:proofErr w:type="gram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Name</w:t>
            </w:r>
            <w:proofErr w:type="spellEnd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]_</w:t>
            </w:r>
            <w:proofErr w:type="gramEnd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_c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</w:p>
          <w:p w14:paraId="4BD76314" w14:textId="7E16B7EE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>no abbreviations unless industry-standard</w:t>
            </w:r>
          </w:p>
        </w:tc>
        <w:tc>
          <w:tcPr>
            <w:tcW w:w="5358" w:type="dxa"/>
            <w:hideMark/>
          </w:tcPr>
          <w:p w14:paraId="2100E3F6" w14:textId="44FF61F0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VibrationLevel_Hz__c</w:t>
            </w:r>
            <w:proofErr w:type="spellEnd"/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not </w:t>
            </w: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Vib_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Lvl</w:t>
            </w:r>
            <w:proofErr w:type="spellEnd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__c</w:t>
            </w:r>
          </w:p>
        </w:tc>
      </w:tr>
      <w:tr w:rsidR="00BC20E5" w:rsidRPr="00BC20E5" w14:paraId="4325B435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47E19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Flow</w:t>
            </w:r>
          </w:p>
        </w:tc>
        <w:tc>
          <w:tcPr>
            <w:tcW w:w="0" w:type="auto"/>
            <w:hideMark/>
          </w:tcPr>
          <w:p w14:paraId="520669DC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NEP_[Object]_[Trigger]_[Purpose]</w:t>
            </w:r>
          </w:p>
        </w:tc>
        <w:tc>
          <w:tcPr>
            <w:tcW w:w="5358" w:type="dxa"/>
            <w:hideMark/>
          </w:tcPr>
          <w:p w14:paraId="5B180286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NEP_SensorReading_AfterCreate_RiskScoring</w:t>
            </w:r>
            <w:proofErr w:type="spellEnd"/>
          </w:p>
        </w:tc>
      </w:tr>
      <w:tr w:rsidR="00BC20E5" w:rsidRPr="00BC20E5" w14:paraId="6E03A3D7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33D1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Apex Class</w:t>
            </w:r>
          </w:p>
        </w:tc>
        <w:tc>
          <w:tcPr>
            <w:tcW w:w="0" w:type="auto"/>
            <w:hideMark/>
          </w:tcPr>
          <w:p w14:paraId="62F3953E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 prefix + </w:t>
            </w:r>
            <w:proofErr w:type="spellStart"/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>PascalCase</w:t>
            </w:r>
            <w:proofErr w:type="spellEnd"/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 + suffix by type (</w:t>
            </w: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Handler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Service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Batch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Test</w:t>
            </w:r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5358" w:type="dxa"/>
            <w:hideMark/>
          </w:tcPr>
          <w:p w14:paraId="35B14DD5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NEPRiskScoringService</w:t>
            </w:r>
            <w:proofErr w:type="spellEnd"/>
            <w:r w:rsidRPr="00BC20E5"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NEPRiskScoringServiceTest</w:t>
            </w:r>
            <w:proofErr w:type="spellEnd"/>
          </w:p>
        </w:tc>
      </w:tr>
      <w:tr w:rsidR="00BC20E5" w:rsidRPr="00BC20E5" w14:paraId="78C30087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1698A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Validation Rule</w:t>
            </w:r>
          </w:p>
        </w:tc>
        <w:tc>
          <w:tcPr>
            <w:tcW w:w="0" w:type="auto"/>
            <w:hideMark/>
          </w:tcPr>
          <w:p w14:paraId="5D2AA554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NEP_[Object]_[Condition]</w:t>
            </w:r>
          </w:p>
        </w:tc>
        <w:tc>
          <w:tcPr>
            <w:tcW w:w="5358" w:type="dxa"/>
            <w:hideMark/>
          </w:tcPr>
          <w:p w14:paraId="48156B52" w14:textId="145D0A6F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NEP_SensorReadingScoreRange_1to100</w:t>
            </w:r>
          </w:p>
        </w:tc>
      </w:tr>
      <w:tr w:rsidR="00BC20E5" w:rsidRPr="00BC20E5" w14:paraId="30A38CAE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82FC7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lastRenderedPageBreak/>
              <w:t>Custom Metadata Type</w:t>
            </w:r>
          </w:p>
        </w:tc>
        <w:tc>
          <w:tcPr>
            <w:tcW w:w="0" w:type="auto"/>
            <w:hideMark/>
          </w:tcPr>
          <w:p w14:paraId="2B4DE559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NEP_[Purpose]_Config__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mdt</w:t>
            </w:r>
            <w:proofErr w:type="spellEnd"/>
          </w:p>
        </w:tc>
        <w:tc>
          <w:tcPr>
            <w:tcW w:w="5358" w:type="dxa"/>
            <w:hideMark/>
          </w:tcPr>
          <w:p w14:paraId="66644B24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NEP_RiskThreshold_Config__</w:t>
            </w: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mdt</w:t>
            </w:r>
            <w:proofErr w:type="spellEnd"/>
          </w:p>
        </w:tc>
      </w:tr>
      <w:tr w:rsidR="00BC20E5" w:rsidRPr="00BC20E5" w14:paraId="721D643E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8B892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Permission Set</w:t>
            </w:r>
          </w:p>
        </w:tc>
        <w:tc>
          <w:tcPr>
            <w:tcW w:w="0" w:type="auto"/>
            <w:hideMark/>
          </w:tcPr>
          <w:p w14:paraId="1FAD65D9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NEP_[Role]</w:t>
            </w:r>
            <w:proofErr w:type="gram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_[</w:t>
            </w:r>
            <w:proofErr w:type="gramEnd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Access Level]</w:t>
            </w:r>
          </w:p>
        </w:tc>
        <w:tc>
          <w:tcPr>
            <w:tcW w:w="5358" w:type="dxa"/>
            <w:hideMark/>
          </w:tcPr>
          <w:p w14:paraId="5A290122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NEP_Dispatcher_Standard</w:t>
            </w:r>
            <w:proofErr w:type="spellEnd"/>
          </w:p>
        </w:tc>
      </w:tr>
      <w:tr w:rsidR="00BC20E5" w:rsidRPr="00BC20E5" w14:paraId="60945D26" w14:textId="77777777" w:rsidTr="00BC20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B9821" w14:textId="77777777" w:rsidR="00BC20E5" w:rsidRPr="00BC20E5" w:rsidRDefault="00BC20E5" w:rsidP="00BC20E5">
            <w:pPr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</w:pPr>
            <w:r w:rsidRPr="00BC20E5">
              <w:rPr>
                <w:rFonts w:ascii="Salesforce Sans" w:eastAsia="Times New Roman" w:hAnsi="Salesforce Sans" w:cs="Times New Roman"/>
                <w:kern w:val="0"/>
                <w:sz w:val="20"/>
                <w:szCs w:val="20"/>
                <w14:ligatures w14:val="none"/>
              </w:rPr>
              <w:t>Record Type</w:t>
            </w:r>
          </w:p>
        </w:tc>
        <w:tc>
          <w:tcPr>
            <w:tcW w:w="0" w:type="auto"/>
            <w:hideMark/>
          </w:tcPr>
          <w:p w14:paraId="282822B3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[Object]_[Purpose]</w:t>
            </w:r>
          </w:p>
        </w:tc>
        <w:tc>
          <w:tcPr>
            <w:tcW w:w="5358" w:type="dxa"/>
            <w:hideMark/>
          </w:tcPr>
          <w:p w14:paraId="26C7F87B" w14:textId="77777777" w:rsidR="00BC20E5" w:rsidRPr="00BC20E5" w:rsidRDefault="00BC20E5" w:rsidP="00BC20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lesforce Sans" w:eastAsia="Times New Roman" w:hAnsi="Salesforce Sans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C20E5">
              <w:rPr>
                <w:rFonts w:ascii="Salesforce Sans" w:eastAsia="Times New Roman" w:hAnsi="Salesforce Sans" w:cs="Courier New"/>
                <w:kern w:val="0"/>
                <w:sz w:val="21"/>
                <w:szCs w:val="21"/>
                <w14:ligatures w14:val="none"/>
              </w:rPr>
              <w:t>Case_EmergencyDispatch</w:t>
            </w:r>
            <w:proofErr w:type="spellEnd"/>
          </w:p>
        </w:tc>
      </w:tr>
    </w:tbl>
    <w:p w14:paraId="7F52EB06" w14:textId="77777777" w:rsidR="00947942" w:rsidRDefault="00947942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</w:p>
    <w:p w14:paraId="36C66C2C" w14:textId="5BA5B663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t>3. Data Model Standards</w:t>
      </w:r>
    </w:p>
    <w:p w14:paraId="7530A701" w14:textId="77777777" w:rsidR="00BC20E5" w:rsidRPr="00BC20E5" w:rsidRDefault="00BC20E5" w:rsidP="00BC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Custom objects must relate to standard objects (Asset, Case) via proper lookup/master-detail — no orphaned custom objects duplicating standard functionality.</w:t>
      </w:r>
    </w:p>
    <w:p w14:paraId="6683B517" w14:textId="77777777" w:rsidR="00BC20E5" w:rsidRPr="00BC20E5" w:rsidRDefault="00BC20E5" w:rsidP="00BC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Every custom field requires a </w:t>
      </w: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Description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and, where non-obvious, </w:t>
      </w: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Help Text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— no undocumented fields ship to production.</w:t>
      </w:r>
    </w:p>
    <w:p w14:paraId="65C72A90" w14:textId="77777777" w:rsidR="00BC20E5" w:rsidRPr="00BC20E5" w:rsidRDefault="00BC20E5" w:rsidP="00BC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Avoid multi-purpose "junk drawer" fields (e.g., a generic </w:t>
      </w:r>
      <w:proofErr w:type="spellStart"/>
      <w:r w:rsidRPr="00BC20E5">
        <w:rPr>
          <w:rFonts w:ascii="Salesforce Sans" w:eastAsia="Times New Roman" w:hAnsi="Salesforce Sans" w:cs="Courier New"/>
          <w:kern w:val="0"/>
          <w:sz w:val="20"/>
          <w:szCs w:val="20"/>
          <w14:ligatures w14:val="none"/>
        </w:rPr>
        <w:t>Notes__c</w:t>
      </w:r>
      <w:proofErr w:type="spellEnd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used for five different purposes) — one field, one purpose.</w:t>
      </w:r>
    </w:p>
    <w:p w14:paraId="24B8D624" w14:textId="77777777" w:rsidR="00BC20E5" w:rsidRPr="00BC20E5" w:rsidRDefault="00BC20E5" w:rsidP="00BC2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External IDs are required on any object receiving data from an external system (e.g., vendor sensor payloads), to support safe </w:t>
      </w:r>
      <w:proofErr w:type="spellStart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>upsert</w:t>
      </w:r>
      <w:proofErr w:type="spellEnd"/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and prevent duplicates.</w:t>
      </w:r>
    </w:p>
    <w:p w14:paraId="61FBF845" w14:textId="77777777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t>4. Automation &amp; Code Standards</w:t>
      </w:r>
    </w:p>
    <w:p w14:paraId="1A705D10" w14:textId="4A097160" w:rsidR="00BC20E5" w:rsidRPr="00BC20E5" w:rsidRDefault="00BC20E5" w:rsidP="00BC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Test coverage: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Minimum </w:t>
      </w:r>
      <w:r w:rsidR="00B60988">
        <w:rPr>
          <w:rFonts w:ascii="Salesforce Sans" w:eastAsia="Times New Roman" w:hAnsi="Salesforce Sans" w:cs="Times New Roman"/>
          <w:kern w:val="0"/>
          <w14:ligatures w14:val="none"/>
        </w:rPr>
        <w:t>80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% on all Apex (NEP's internal bar is higher than the Salesforce platform's 75% minimum) — and tests must assert outcomes, not just execute lines.</w:t>
      </w:r>
    </w:p>
    <w:p w14:paraId="4AE6579E" w14:textId="77777777" w:rsidR="00BC20E5" w:rsidRPr="00BC20E5" w:rsidRDefault="00BC20E5" w:rsidP="00BC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No hardcoded IDs: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Record Type IDs, Queue IDs, User IDs must never be hardcoded — use labels, custom metadata, or dynamic lookups.</w:t>
      </w:r>
    </w:p>
    <w:p w14:paraId="01BC2EAE" w14:textId="77777777" w:rsidR="00BC20E5" w:rsidRDefault="00BC20E5" w:rsidP="00BC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0"/>
          <w14:ligatures w14:val="none"/>
        </w:rPr>
        <w:t>Comments &amp; documentation: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 xml:space="preserve"> Apex classes require a header comment block (purpose, author, date, related requirement/story reference).</w:t>
      </w:r>
    </w:p>
    <w:p w14:paraId="199818D9" w14:textId="13B99697" w:rsidR="00291416" w:rsidRPr="00291416" w:rsidRDefault="00291416" w:rsidP="00BC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291416">
        <w:rPr>
          <w:rFonts w:ascii="Salesforce Sans" w:hAnsi="Salesforce Sans"/>
          <w:b/>
          <w:bCs/>
        </w:rPr>
        <w:t>No Generative AI in Scope</w:t>
      </w:r>
      <w:r w:rsidRPr="00291416">
        <w:rPr>
          <w:rFonts w:ascii="Salesforce Sans" w:hAnsi="Salesforce Sans"/>
        </w:rPr>
        <w:br/>
        <w:t xml:space="preserve">Einstein Generative AI capabilities — Prompt Builder, Einstein GPT/Copilot credits, Trust Layer features, or any LLM-generated content — are </w:t>
      </w:r>
      <w:r w:rsidRPr="00291416">
        <w:rPr>
          <w:rFonts w:ascii="Salesforce Sans" w:hAnsi="Salesforce Sans"/>
          <w:b/>
          <w:bCs/>
        </w:rPr>
        <w:t>not permitted</w:t>
      </w:r>
      <w:r w:rsidRPr="00291416">
        <w:rPr>
          <w:rFonts w:ascii="Salesforce Sans" w:hAnsi="Salesforce Sans"/>
        </w:rPr>
        <w:t xml:space="preserve"> on this engagement. This includes the plain-language summaries required for sensor readings: these must be produced by deterministic logic (e.g. Apex or Flow string construction based on the severity assessment), not by AI-generated text. Any output presented to dispatch staff must be exactly reproducible from the same input every time.</w:t>
      </w:r>
    </w:p>
    <w:p w14:paraId="01C08AFB" w14:textId="77777777" w:rsidR="00947942" w:rsidRDefault="00947942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</w:p>
    <w:p w14:paraId="55FE219F" w14:textId="2B0F3713" w:rsidR="00BC20E5" w:rsidRPr="00BC20E5" w:rsidRDefault="00BC20E5" w:rsidP="00BC20E5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lastRenderedPageBreak/>
        <w:t>5. Security &amp; Access</w:t>
      </w:r>
    </w:p>
    <w:p w14:paraId="7449A701" w14:textId="77777777" w:rsidR="00F47DEF" w:rsidRDefault="00F47DEF" w:rsidP="00F47D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Admin Profile Access — Build Requirement</w:t>
      </w:r>
    </w:p>
    <w:p w14:paraId="761230DB" w14:textId="20F13BF0" w:rsidR="00F47DEF" w:rsidRDefault="00F47DEF" w:rsidP="00F47D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F47DEF">
        <w:rPr>
          <w:rFonts w:ascii="Salesforce Sans" w:eastAsia="Times New Roman" w:hAnsi="Salesforce Sans" w:cs="Times New Roman"/>
          <w:kern w:val="0"/>
          <w14:ligatures w14:val="none"/>
        </w:rPr>
        <w:t xml:space="preserve">Every custom object and custom field created as part of this project must grant Field-Level Security and object access to the System Administrator (Admin) profile at </w:t>
      </w:r>
      <w:r w:rsidR="008307B4">
        <w:rPr>
          <w:rFonts w:ascii="Salesforce Sans" w:eastAsia="Times New Roman" w:hAnsi="Salesforce Sans" w:cs="Times New Roman"/>
          <w:kern w:val="0"/>
          <w14:ligatures w14:val="none"/>
        </w:rPr>
        <w:t xml:space="preserve">object and field </w:t>
      </w: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creation</w:t>
      </w:r>
      <w:r w:rsidR="008307B4">
        <w:rPr>
          <w:rFonts w:ascii="Salesforce Sans" w:eastAsia="Times New Roman" w:hAnsi="Salesforce Sans" w:cs="Times New Roman"/>
          <w:kern w:val="0"/>
          <w14:ligatures w14:val="none"/>
        </w:rPr>
        <w:t xml:space="preserve"> and deployment</w:t>
      </w:r>
      <w:r w:rsidRPr="00F47DEF">
        <w:rPr>
          <w:rFonts w:ascii="Salesforce Sans" w:eastAsia="Times New Roman" w:hAnsi="Salesforce Sans" w:cs="Times New Roman"/>
          <w:kern w:val="0"/>
          <w14:ligatures w14:val="none"/>
        </w:rPr>
        <w:t xml:space="preserve"> time — this is not optional or "add later."</w:t>
      </w:r>
    </w:p>
    <w:p w14:paraId="22394E99" w14:textId="77777777" w:rsidR="00F47DEF" w:rsidRDefault="00F47DEF" w:rsidP="00F47D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Do not assume Admin profiles have automatic visibility to new custom objects/fields — Salesforce does not guarantee this by default, and deploying without setting it explicitly is a common cause of "field not visible / access denied" errors post-deploy.</w:t>
      </w:r>
    </w:p>
    <w:p w14:paraId="4122E890" w14:textId="5011B295" w:rsidR="00F47DEF" w:rsidRDefault="00F47DEF" w:rsidP="00F47D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This applies regardless of whether access is also granted via a dedicated Permission Set — Permission Sets are additive, not a substitute for baseline Admin visibility.</w:t>
      </w:r>
    </w:p>
    <w:p w14:paraId="72709E95" w14:textId="47149F50" w:rsidR="00F47DEF" w:rsidRDefault="00F47DEF" w:rsidP="00F47D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Verify this before considering any object/field "done": the person deploying and demoing must be able to see and edit every new object/field without needing a separate permission set assignment</w:t>
      </w:r>
      <w:r>
        <w:rPr>
          <w:rFonts w:ascii="Salesforce Sans" w:eastAsia="Times New Roman" w:hAnsi="Salesforce Sans" w:cs="Times New Roman"/>
          <w:kern w:val="0"/>
          <w14:ligatures w14:val="none"/>
        </w:rPr>
        <w:t>.</w:t>
      </w:r>
    </w:p>
    <w:p w14:paraId="6A85E504" w14:textId="7B15D608" w:rsidR="00251616" w:rsidRPr="00BC20E5" w:rsidRDefault="00251616" w:rsidP="00251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Follow least-privilege: Permission Sets scoped to job function (e.g., Dispatcher vs. Maintenance Engineer vs. Ops Leadership), not broad profile-level access edits</w:t>
      </w:r>
      <w:r>
        <w:rPr>
          <w:rFonts w:ascii="Salesforce Sans" w:eastAsia="Times New Roman" w:hAnsi="Salesforce Sans" w:cs="Times New Roman"/>
          <w:kern w:val="0"/>
          <w14:ligatures w14:val="none"/>
        </w:rPr>
        <w:t xml:space="preserve"> – except for the </w:t>
      </w:r>
      <w:r w:rsidRPr="00F47DEF">
        <w:rPr>
          <w:rFonts w:ascii="Salesforce Sans" w:eastAsia="Times New Roman" w:hAnsi="Salesforce Sans" w:cs="Times New Roman"/>
          <w:kern w:val="0"/>
          <w14:ligatures w14:val="none"/>
        </w:rPr>
        <w:t>System Administrator (Admin) profile</w:t>
      </w: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.</w:t>
      </w:r>
    </w:p>
    <w:p w14:paraId="2DAFA7E4" w14:textId="77777777" w:rsidR="00251616" w:rsidRPr="00BC20E5" w:rsidRDefault="00251616" w:rsidP="002516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Field-level security must be explicitly set for every new field — no reliance on default "visible to all" behavior.</w:t>
      </w:r>
    </w:p>
    <w:p w14:paraId="07C34DA2" w14:textId="77777777" w:rsidR="00251616" w:rsidRPr="00F47DEF" w:rsidRDefault="00251616" w:rsidP="00251616">
      <w:pPr>
        <w:spacing w:before="100" w:beforeAutospacing="1" w:after="100" w:afterAutospacing="1" w:line="240" w:lineRule="auto"/>
        <w:ind w:left="720"/>
        <w:rPr>
          <w:rFonts w:ascii="Salesforce Sans" w:eastAsia="Times New Roman" w:hAnsi="Salesforce Sans" w:cs="Times New Roman"/>
          <w:kern w:val="0"/>
          <w14:ligatures w14:val="none"/>
        </w:rPr>
      </w:pPr>
    </w:p>
    <w:p w14:paraId="10B4ABA5" w14:textId="1624B705" w:rsidR="00677F84" w:rsidRPr="00677F84" w:rsidRDefault="00BC20E5" w:rsidP="00677F84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</w:pPr>
      <w:r w:rsidRPr="00BC20E5">
        <w:rPr>
          <w:rFonts w:ascii="Salesforce Sans" w:eastAsia="Times New Roman" w:hAnsi="Salesforce Sans" w:cs="Times New Roman"/>
          <w:b/>
          <w:bCs/>
          <w:kern w:val="36"/>
          <w:sz w:val="28"/>
          <w:szCs w:val="28"/>
          <w14:ligatures w14:val="none"/>
        </w:rPr>
        <w:t>6. UI/UX Standards</w:t>
      </w:r>
    </w:p>
    <w:p w14:paraId="3E49F085" w14:textId="77777777" w:rsidR="00677F84" w:rsidRPr="00677F84" w:rsidRDefault="00677F84" w:rsidP="00677F84">
      <w:pPr>
        <w:numPr>
          <w:ilvl w:val="0"/>
          <w:numId w:val="5"/>
        </w:numPr>
        <w:spacing w:before="30" w:after="30" w:line="240" w:lineRule="auto"/>
        <w:rPr>
          <w:rFonts w:ascii="Salesforce Sans" w:eastAsia="Times New Roman" w:hAnsi="Salesforce Sans" w:cs="Times New Roman"/>
          <w:color w:val="1D1C1D"/>
          <w:kern w:val="0"/>
          <w14:ligatures w14:val="none"/>
        </w:rPr>
      </w:pPr>
      <w:proofErr w:type="spellStart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>Flexipage</w:t>
      </w:r>
      <w:proofErr w:type="spellEnd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 vs. Page Layout — Build Rule</w:t>
      </w:r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 xml:space="preserve"> </w:t>
      </w:r>
    </w:p>
    <w:p w14:paraId="7E298046" w14:textId="35A9630E" w:rsidR="00677F84" w:rsidRPr="00677F84" w:rsidRDefault="00677F84" w:rsidP="00677F84">
      <w:pPr>
        <w:numPr>
          <w:ilvl w:val="1"/>
          <w:numId w:val="5"/>
        </w:numPr>
        <w:spacing w:before="30" w:after="30" w:line="240" w:lineRule="auto"/>
        <w:rPr>
          <w:rFonts w:ascii="Salesforce Sans" w:eastAsia="Times New Roman" w:hAnsi="Salesforce Sans" w:cs="Times New Roman"/>
          <w:color w:val="1D1C1D"/>
          <w:kern w:val="0"/>
          <w14:ligatures w14:val="none"/>
        </w:rPr>
      </w:pPr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>Only create or modify a Lightning App Builder page (</w:t>
      </w:r>
      <w:proofErr w:type="spellStart"/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>Flexipage</w:t>
      </w:r>
      <w:proofErr w:type="spellEnd"/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>) if one already exists and is assigned for the object/record type you're changing.</w:t>
      </w:r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 Do not create a brand-new </w:t>
      </w:r>
      <w:proofErr w:type="spellStart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>Flexipage</w:t>
      </w:r>
      <w:proofErr w:type="spellEnd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 as the default approach for adding a field or related list.</w:t>
      </w:r>
    </w:p>
    <w:p w14:paraId="192B0B7F" w14:textId="77777777" w:rsidR="00677F84" w:rsidRPr="00677F84" w:rsidRDefault="00677F84" w:rsidP="00677F84">
      <w:pPr>
        <w:numPr>
          <w:ilvl w:val="1"/>
          <w:numId w:val="5"/>
        </w:numPr>
        <w:spacing w:before="30" w:after="30" w:line="240" w:lineRule="auto"/>
        <w:rPr>
          <w:rFonts w:ascii="Salesforce Sans" w:eastAsia="Times New Roman" w:hAnsi="Salesforce Sans" w:cs="Times New Roman"/>
          <w:color w:val="1D1C1D"/>
          <w:kern w:val="0"/>
          <w14:ligatures w14:val="none"/>
        </w:rPr>
      </w:pPr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 xml:space="preserve">If no </w:t>
      </w:r>
      <w:proofErr w:type="spellStart"/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>Flexipage</w:t>
      </w:r>
      <w:proofErr w:type="spellEnd"/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 xml:space="preserve"> exists for the object</w:t>
      </w:r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, add the new field(s) or related list changes to the object's existing </w:t>
      </w:r>
      <w:r w:rsidRPr="00677F84">
        <w:rPr>
          <w:rFonts w:ascii="Salesforce Sans" w:eastAsia="Times New Roman" w:hAnsi="Salesforce Sans" w:cs="Times New Roman"/>
          <w:b/>
          <w:bCs/>
          <w:color w:val="1D1C1D"/>
          <w:kern w:val="0"/>
          <w14:ligatures w14:val="none"/>
        </w:rPr>
        <w:t>Page Layout</w:t>
      </w:r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 instead. Do not introduce a </w:t>
      </w:r>
      <w:proofErr w:type="spellStart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>Flexipage</w:t>
      </w:r>
      <w:proofErr w:type="spellEnd"/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 xml:space="preserve"> as a workaround.</w:t>
      </w:r>
    </w:p>
    <w:p w14:paraId="2364C99A" w14:textId="11F39A12" w:rsidR="00677F84" w:rsidRPr="00677F84" w:rsidRDefault="00677F84" w:rsidP="00677F84">
      <w:pPr>
        <w:numPr>
          <w:ilvl w:val="1"/>
          <w:numId w:val="5"/>
        </w:numPr>
        <w:spacing w:before="30" w:after="30" w:line="240" w:lineRule="auto"/>
        <w:rPr>
          <w:rFonts w:ascii="Salesforce Sans" w:eastAsia="Times New Roman" w:hAnsi="Salesforce Sans" w:cs="Times New Roman"/>
          <w:color w:val="1D1C1D"/>
          <w:kern w:val="0"/>
          <w14:ligatures w14:val="none"/>
        </w:rPr>
      </w:pPr>
      <w:r w:rsidRPr="00677F84">
        <w:rPr>
          <w:rFonts w:ascii="Salesforce Sans" w:eastAsia="Times New Roman" w:hAnsi="Salesforce Sans" w:cs="Times New Roman"/>
          <w:color w:val="1D1C1D"/>
          <w:kern w:val="0"/>
          <w14:ligatures w14:val="none"/>
        </w:rPr>
        <w:t>This rule applies to all page-visibility requirements across all objects added or updated.</w:t>
      </w:r>
    </w:p>
    <w:p w14:paraId="54A8136C" w14:textId="2822B976" w:rsidR="00E1024B" w:rsidRPr="00BC20E5" w:rsidRDefault="00E1024B" w:rsidP="00BC2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E1024B">
        <w:rPr>
          <w:rFonts w:ascii="Salesforce Sans" w:eastAsia="Times New Roman" w:hAnsi="Salesforce Sans" w:cs="Times New Roman"/>
          <w:kern w:val="0"/>
          <w14:ligatures w14:val="none"/>
        </w:rPr>
        <w:t>Any new custom field must be added to the relevant page</w:t>
      </w:r>
      <w:r>
        <w:rPr>
          <w:rFonts w:ascii="Salesforce Sans" w:eastAsia="Times New Roman" w:hAnsi="Salesforce Sans" w:cs="Times New Roman"/>
          <w:kern w:val="0"/>
          <w14:ligatures w14:val="none"/>
        </w:rPr>
        <w:t>(s)</w:t>
      </w:r>
      <w:r w:rsidR="00677F84">
        <w:rPr>
          <w:rFonts w:ascii="Salesforce Sans" w:eastAsia="Times New Roman" w:hAnsi="Salesforce Sans" w:cs="Times New Roman"/>
          <w:kern w:val="0"/>
          <w14:ligatures w14:val="none"/>
        </w:rPr>
        <w:t xml:space="preserve"> and </w:t>
      </w:r>
      <w:r w:rsidRPr="00E1024B">
        <w:rPr>
          <w:rFonts w:ascii="Salesforce Sans" w:eastAsia="Times New Roman" w:hAnsi="Salesforce Sans" w:cs="Times New Roman"/>
          <w:kern w:val="0"/>
          <w14:ligatures w14:val="none"/>
        </w:rPr>
        <w:t xml:space="preserve">layout(s) at build time — a field existing on the object but absent from the layout does not satisfy a requirement. Related list ordering changes (e.g., promoting a </w:t>
      </w:r>
      <w:r w:rsidRPr="00E1024B">
        <w:rPr>
          <w:rFonts w:ascii="Salesforce Sans" w:eastAsia="Times New Roman" w:hAnsi="Salesforce Sans" w:cs="Times New Roman"/>
          <w:kern w:val="0"/>
          <w14:ligatures w14:val="none"/>
        </w:rPr>
        <w:lastRenderedPageBreak/>
        <w:t>related list to first position) must be treated as an explicit, testable layout change, not a default left to chance.</w:t>
      </w:r>
    </w:p>
    <w:p w14:paraId="51174ACC" w14:textId="77777777" w:rsidR="00BC20E5" w:rsidRPr="00BC20E5" w:rsidRDefault="00BC20E5" w:rsidP="00BC20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alesforce Sans" w:eastAsia="Times New Roman" w:hAnsi="Salesforce Sans" w:cs="Times New Roman"/>
          <w:kern w:val="0"/>
          <w14:ligatures w14:val="none"/>
        </w:rPr>
      </w:pPr>
      <w:r w:rsidRPr="00BC20E5">
        <w:rPr>
          <w:rFonts w:ascii="Salesforce Sans" w:eastAsia="Times New Roman" w:hAnsi="Salesforce Sans" w:cs="Times New Roman"/>
          <w:kern w:val="0"/>
          <w14:ligatures w14:val="none"/>
        </w:rPr>
        <w:t>Plain-language summaries (e.g., risk summaries) must be surfaced prominently — not buried below the fold or in a secondary tab.</w:t>
      </w:r>
    </w:p>
    <w:p w14:paraId="7F904BC3" w14:textId="7ACD9F3C" w:rsidR="00BC20E5" w:rsidRPr="00BC20E5" w:rsidRDefault="00BC20E5" w:rsidP="00180BDD">
      <w:pPr>
        <w:spacing w:before="100" w:beforeAutospacing="1" w:after="100" w:afterAutospacing="1" w:line="240" w:lineRule="auto"/>
        <w:outlineLvl w:val="0"/>
        <w:rPr>
          <w:rFonts w:ascii="Salesforce Sans" w:eastAsia="Times New Roman" w:hAnsi="Salesforce Sans" w:cs="Times New Roman"/>
          <w:kern w:val="0"/>
          <w14:ligatures w14:val="none"/>
        </w:rPr>
      </w:pPr>
    </w:p>
    <w:p w14:paraId="1FE43079" w14:textId="77777777" w:rsidR="00366635" w:rsidRPr="00BC20E5" w:rsidRDefault="00366635">
      <w:pPr>
        <w:rPr>
          <w:rFonts w:ascii="Salesforce Sans" w:hAnsi="Salesforce Sans"/>
        </w:rPr>
      </w:pPr>
    </w:p>
    <w:p w14:paraId="18D703AC" w14:textId="77777777" w:rsidR="00BC20E5" w:rsidRPr="00BC20E5" w:rsidRDefault="00BC20E5">
      <w:pPr>
        <w:rPr>
          <w:rFonts w:ascii="Salesforce Sans" w:hAnsi="Salesforce Sans"/>
        </w:rPr>
      </w:pPr>
    </w:p>
    <w:p w14:paraId="4CE81896" w14:textId="77777777" w:rsidR="00BC20E5" w:rsidRPr="00BC20E5" w:rsidRDefault="00BC20E5">
      <w:pPr>
        <w:rPr>
          <w:rFonts w:ascii="Salesforce Sans" w:hAnsi="Salesforce Sans"/>
        </w:rPr>
      </w:pPr>
    </w:p>
    <w:sectPr w:rsidR="00BC20E5" w:rsidRPr="00BC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lesforce Sans">
    <w:panose1 w:val="020B0505020202020203"/>
    <w:charset w:val="4D"/>
    <w:family w:val="swiss"/>
    <w:pitch w:val="variable"/>
    <w:sig w:usb0="A00000EF" w:usb1="4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000AEF"/>
    <w:multiLevelType w:val="multilevel"/>
    <w:tmpl w:val="463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4119"/>
    <w:multiLevelType w:val="multilevel"/>
    <w:tmpl w:val="5BA4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632BE"/>
    <w:multiLevelType w:val="multilevel"/>
    <w:tmpl w:val="A5E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6135C"/>
    <w:multiLevelType w:val="multilevel"/>
    <w:tmpl w:val="D7C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04420"/>
    <w:multiLevelType w:val="multilevel"/>
    <w:tmpl w:val="77F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17913"/>
    <w:multiLevelType w:val="multilevel"/>
    <w:tmpl w:val="544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B7562"/>
    <w:multiLevelType w:val="multilevel"/>
    <w:tmpl w:val="1DA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4358D"/>
    <w:multiLevelType w:val="multilevel"/>
    <w:tmpl w:val="503C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88696">
    <w:abstractNumId w:val="4"/>
  </w:num>
  <w:num w:numId="2" w16cid:durableId="1545408484">
    <w:abstractNumId w:val="0"/>
  </w:num>
  <w:num w:numId="3" w16cid:durableId="542251886">
    <w:abstractNumId w:val="5"/>
  </w:num>
  <w:num w:numId="4" w16cid:durableId="746879338">
    <w:abstractNumId w:val="7"/>
  </w:num>
  <w:num w:numId="5" w16cid:durableId="184294650">
    <w:abstractNumId w:val="2"/>
  </w:num>
  <w:num w:numId="6" w16cid:durableId="98061851">
    <w:abstractNumId w:val="6"/>
  </w:num>
  <w:num w:numId="7" w16cid:durableId="763501766">
    <w:abstractNumId w:val="1"/>
  </w:num>
  <w:num w:numId="8" w16cid:durableId="11605864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E5"/>
    <w:rsid w:val="000F49F8"/>
    <w:rsid w:val="00113C74"/>
    <w:rsid w:val="00180BDD"/>
    <w:rsid w:val="00251616"/>
    <w:rsid w:val="00291416"/>
    <w:rsid w:val="00366635"/>
    <w:rsid w:val="003C5E67"/>
    <w:rsid w:val="003E55A0"/>
    <w:rsid w:val="005F77A0"/>
    <w:rsid w:val="00615498"/>
    <w:rsid w:val="00677F84"/>
    <w:rsid w:val="007A1E4A"/>
    <w:rsid w:val="007E360D"/>
    <w:rsid w:val="008307B4"/>
    <w:rsid w:val="00947942"/>
    <w:rsid w:val="00B60988"/>
    <w:rsid w:val="00BC20E5"/>
    <w:rsid w:val="00C46311"/>
    <w:rsid w:val="00CF0EE2"/>
    <w:rsid w:val="00E1024B"/>
    <w:rsid w:val="00ED7C2B"/>
    <w:rsid w:val="00F4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13A7E"/>
  <w15:chartTrackingRefBased/>
  <w15:docId w15:val="{CF46AE93-947E-FB4A-9F08-FF62A67B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E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C20E5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BC20E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C20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Hasgard Olesen Hoybye</dc:creator>
  <cp:keywords/>
  <dc:description/>
  <cp:lastModifiedBy>Allan Hasgard Olesen Hoybye</cp:lastModifiedBy>
  <cp:revision>12</cp:revision>
  <dcterms:created xsi:type="dcterms:W3CDTF">2026-09-22T21:06:00Z</dcterms:created>
  <dcterms:modified xsi:type="dcterms:W3CDTF">2026-09-27T08:45:00Z</dcterms:modified>
</cp:coreProperties>
</file>