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ORGANISMO DE EVALUACIÓN Y FISCALIZACIÓN AMBIENTAL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Dirección de Políticas y Estrategias en Fiscalización Ambiental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Coordinación de Sistematización, Estadísticas y Optimización de Procesos</w:t>
      </w:r>
    </w:p>
    <w:p>
      <w:pPr>
        <w:spacing w:before="240" w:after="28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INFORME TÉCNICO N.° 001-2026-OEFA/DPEF-CSEP</w:t>
      </w:r>
    </w:p>
    <w:p>
      <w:pPr>
        <w:spacing w:after="120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 xml:space="preserve">A: </w:t>
      </w:r>
      <w:r>
        <w:rPr>
          <w:rFonts w:ascii="Times New Roman" w:hAnsi="Times New Roman" w:eastAsia="Times New Roman"/>
          <w:b w:val="0"/>
          <w:i w:val="0"/>
          <w:sz w:val="22"/>
        </w:rPr>
        <w:t>IGOR ELÍAS MEJÍA VERÁSTEGUI</w:t>
      </w:r>
      <w:r>
        <w:rPr>
          <w:rFonts w:ascii="Times New Roman" w:hAnsi="Times New Roman" w:eastAsia="Times New Roman"/>
          <w:b w:val="0"/>
          <w:i w:val="0"/>
          <w:sz w:val="22"/>
        </w:rPr>
        <w:br w:type="textWrapping"/>
      </w:r>
      <w:r>
        <w:rPr>
          <w:rFonts w:ascii="Times New Roman" w:hAnsi="Times New Roman" w:eastAsia="Times New Roman"/>
          <w:b w:val="0"/>
          <w:i w:val="0"/>
          <w:sz w:val="22"/>
        </w:rPr>
        <w:t>Director de la Dirección de Políticas y Estrategias en Fiscalización Ambiental del OEFA</w:t>
      </w:r>
    </w:p>
    <w:p>
      <w:pPr>
        <w:spacing w:after="120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 xml:space="preserve">Asunto: </w:t>
      </w:r>
      <w:r>
        <w:rPr>
          <w:rFonts w:ascii="Times New Roman" w:hAnsi="Times New Roman" w:eastAsia="Times New Roman"/>
          <w:b w:val="0"/>
          <w:i w:val="0"/>
          <w:sz w:val="22"/>
        </w:rPr>
        <w:t>Primer entregable — actividades a), b) y c) del numeral 6 de los TDR. Requerimiento N.° 3629-2026 (análisis de datos e implementación de técnica para el procesamiento de datos — evaluación de la efectividad de las estrategias de promoción del cumplimiento: informes de supervisión y multas coercitivas).</w:t>
      </w:r>
    </w:p>
    <w:p>
      <w:pPr>
        <w:spacing w:after="120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 xml:space="preserve">Referencia: </w:t>
      </w:r>
      <w:r>
        <w:rPr>
          <w:rFonts w:ascii="Times New Roman" w:hAnsi="Times New Roman" w:eastAsia="Times New Roman"/>
          <w:b w:val="0"/>
          <w:i w:val="0"/>
          <w:sz w:val="22"/>
        </w:rPr>
        <w:t>Términos de Referencia del Requerimiento N.° 3629-2026.</w:t>
      </w:r>
    </w:p>
    <w:p>
      <w:pPr>
        <w:spacing w:after="120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 xml:space="preserve">Fecha: </w:t>
      </w:r>
      <w:r>
        <w:rPr>
          <w:rFonts w:ascii="Times New Roman" w:hAnsi="Times New Roman" w:eastAsia="Times New Roman"/>
          <w:b w:val="0"/>
          <w:i w:val="0"/>
          <w:sz w:val="22"/>
        </w:rPr>
        <w:t>Lima, 13 de agosto de 2026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Es grato dirigirme a usted para informarle el cumplimiento de las actividades a), b) y c) del numeral 6 de los TDR, correspondientes al Primer Entregable, considerando las fuentes de multas coercitivas y de informes de supervisión ya integradas al flujo ETL institucional del proyecto multa_etl.</w:t>
      </w:r>
    </w:p>
    <w:p>
      <w:pPr>
        <w:spacing w:before="280" w:after="16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1. OBJETIVO Y ANTECEDENTES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El presente informe sustenta el Primer Entregable del servicio de análisis de datos e implementación de técnicas para el procesamiento, consolidación, sistematización y validación de la información relacionada con las estrategias de promoción del cumplimiento, asociadas tanto a los informes de supervisión como a las multas coercitivas, en el marco de la Coordinación de Sistematización, Estadísticas y Optimización de Procesos (CSEP) de la Dirección de Políticas y Estrategias en Fiscalización Ambiental (DPEF).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Conforme al numeral 7 de los TDR, el Primer Entregable consiste en un (01) informe que detalla el cumplimiento de las actividades a), b) y c) del numeral 6, adjuntando el sustento correspondiente. Las actividades d) a h) —depuración y estandarización, controles de aseguramiento de la calidad con trazabilidad, análisis de efectividad, elaboración de cuadros estadísticos y formulación de hallazgos de gestión— corresponden a los entregables segundo y tercero. En este documento solo se anticipa, en la sección 7, el diseño de data warehouse que condicionará el literal f, sin ejecutarlo.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Literal</w:t>
            </w:r>
          </w:p>
        </w:tc>
        <w:tc>
          <w:tcPr>
            <w:tcW w:w="3192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Actividad (TDR, numeral 6)</w:t>
            </w:r>
          </w:p>
        </w:tc>
        <w:tc>
          <w:tcPr>
            <w:tcW w:w="3192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Cobertura en este informe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a)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Consolidar e integrar fuentes de informes de supervisión y multas coercitivas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Sheets GS1/GS2, VW_MULTA_COERCITIVA, MySQL gapps y CSEP_INFORMES_VIEW → dos RPT_* en REPOCSEP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b)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Revisar estructura, campos, clasificación, periodos e indicadores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Granos, llaves y correspondencias de ambos universos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c)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Validar completitud, consistencia y coherencia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Diagnóstico de calidad; depuración pendiente (entregable 2)</w:t>
            </w:r>
          </w:p>
        </w:tc>
      </w:tr>
    </w:tbl>
    <w:p/>
    <w:p>
      <w:pPr>
        <w:spacing w:before="40" w:after="200"/>
        <w:ind w:firstLine="0"/>
        <w:jc w:val="center"/>
        <w:rPr>
          <w:rFonts w:ascii="Times New Roman" w:hAnsi="Times New Roman" w:eastAsia="Times New Roman"/>
          <w:b w:val="0"/>
          <w:i/>
          <w:sz w:val="18"/>
        </w:rPr>
      </w:pPr>
      <w:r>
        <w:rPr>
          <w:rFonts w:ascii="Times New Roman" w:hAnsi="Times New Roman" w:eastAsia="Times New Roman"/>
          <w:b w:val="0"/>
          <w:i/>
          <w:sz w:val="18"/>
        </w:rPr>
        <w:t>Cuadro 1. Alcance del Primer Entregable (a–c).</w:t>
      </w:r>
    </w:p>
    <w:p>
      <w:pPr>
        <w:spacing w:before="40" w:after="200"/>
        <w:ind w:firstLine="0"/>
        <w:jc w:val="both"/>
        <w:rPr>
          <w:rFonts w:ascii="Times New Roman" w:hAnsi="Times New Roman" w:eastAsia="Times New Roman"/>
          <w:b w:val="0"/>
          <w:i/>
          <w:sz w:val="18"/>
        </w:rPr>
      </w:pPr>
    </w:p>
    <w:p>
      <w:pPr>
        <w:spacing w:before="200" w:after="160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1.1 Marco institucional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Mediante la Ley N.° 29325, Ley del Sistema Nacional de Evaluación y Fiscalización Ambiental (SINEFA), se otorga al OEFA la calidad de Ente Rector del citado sistema. El Reglamento de Organización y Funciones del OEFA establece en su artículo 42° que la DPEF es el órgano de línea responsable de proponer, coordinar y ejecutar políticas, estrategias y acciones de fortalecimiento en materia de fiscalización ambiental.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Por Resolución de Presidencia del Consejo Directivo N.° 009-2018-OEFA/PCD se estableció la CSEP, cuyas actividades se derivan del literal k) del ROF y tienen como eje la sistematización de datos, la producción de estadísticas y la generación de insumos técnicos. Asimismo, mediante Memorando Circular N.° 00004-2026-OEFA/PCD se priorizaron los mecanismos de promoción del cumplimiento. El presente servicio aporta a la tarea POI 014584 de visualización y comunicación de la información estadística de los procesos de fiscalización ambiental del SINEFA.</w:t>
      </w:r>
    </w:p>
    <w:p>
      <w:pPr>
        <w:spacing w:before="200" w:after="160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1.2 Alcance técnico de esta etapa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Se implementó y ejecutó el proyecto técnico multa_etl (Apache Hop + staging H2 in-memory + consolidación R solo para multas) que integra las fuentes de multas coercitivas y la vista de informes de supervisión, deposita el landing en tablas STG_* y produce dos tablas analíticas en el repositorio Oracle REPOCSEP: RPT_MULTA_COERCITIVA y RPT_INFORME_SUPERVISION.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Fuera de alcance del Primer Entregable: join matched definitivo COD_MA ↔ CUM; puente informe ↔ multa; depuración normativa de categorías; indicadores de efectividad; y tableros Power BI. El detalle columna a columna se remite a los DDL del repositorio, a fin de mantener este informe dentro de un volumen razonable.</w:t>
      </w:r>
    </w:p>
    <w:p>
      <w:pPr>
        <w:spacing w:before="280" w:after="16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2. RESUMEN EJECUTIVO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915"/>
        <w:gridCol w:w="1915"/>
        <w:gridCol w:w="1915"/>
        <w:gridCol w:w="19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5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Ítem</w:t>
            </w:r>
          </w:p>
        </w:tc>
        <w:tc>
          <w:tcPr>
            <w:tcW w:w="1915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Componente</w:t>
            </w:r>
          </w:p>
        </w:tc>
        <w:tc>
          <w:tcPr>
            <w:tcW w:w="1915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Descripción resumida</w:t>
            </w:r>
          </w:p>
        </w:tc>
        <w:tc>
          <w:tcPr>
            <w:tcW w:w="1915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Herramientas</w:t>
            </w:r>
          </w:p>
        </w:tc>
        <w:tc>
          <w:tcPr>
            <w:tcW w:w="1915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Estado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1.0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a) Consolidación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Seis STG_* y dos hechos RPT_* (multas UNION + informes 1:1)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Hop, Sheets API, JDBC, R/RJDBC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Completado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2.0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b) Estructura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Granos, llaves, clasificación, periodos e indicadores tentativos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DDL H2/Oracle, pipelines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Completado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3.0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c) Calidad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Conteos, nulos, duplicados, #N/A, COD_MA≠CUM, riesgo TXNUMEXP nulo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Log Hop, H2, consultas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Completado (diagnóstico)</w:t>
            </w:r>
          </w:p>
        </w:tc>
      </w:tr>
    </w:tbl>
    <w:p/>
    <w:p>
      <w:pPr>
        <w:spacing w:before="40" w:after="200"/>
        <w:ind w:firstLine="0"/>
        <w:jc w:val="center"/>
        <w:rPr>
          <w:rFonts w:ascii="Times New Roman" w:hAnsi="Times New Roman" w:eastAsia="Times New Roman"/>
          <w:b w:val="0"/>
          <w:i/>
          <w:sz w:val="18"/>
        </w:rPr>
      </w:pPr>
      <w:r>
        <w:rPr>
          <w:rFonts w:ascii="Times New Roman" w:hAnsi="Times New Roman" w:eastAsia="Times New Roman"/>
          <w:b w:val="0"/>
          <w:i/>
          <w:sz w:val="18"/>
        </w:rPr>
        <w:t>Cuadro 2. Síntesis del entregable.</w:t>
      </w:r>
    </w:p>
    <w:p>
      <w:pPr>
        <w:spacing w:before="40" w:after="200"/>
        <w:ind w:firstLine="0"/>
        <w:jc w:val="center"/>
        <w:rPr>
          <w:rFonts w:ascii="Times New Roman" w:hAnsi="Times New Roman" w:eastAsia="Times New Roman"/>
          <w:b w:val="0"/>
          <w:i/>
          <w:sz w:val="18"/>
        </w:rPr>
      </w:pPr>
    </w:p>
    <w:p>
      <w:pPr>
        <w:spacing w:before="40" w:after="200"/>
        <w:ind w:firstLine="0"/>
        <w:jc w:val="center"/>
        <w:rPr>
          <w:rFonts w:ascii="Times New Roman" w:hAnsi="Times New Roman" w:eastAsia="Times New Roman"/>
          <w:b w:val="0"/>
          <w:i/>
          <w:sz w:val="18"/>
        </w:rPr>
      </w:pPr>
    </w:p>
    <w:p>
      <w:pPr>
        <w:spacing w:before="40" w:after="200"/>
        <w:ind w:firstLine="0"/>
        <w:jc w:val="center"/>
        <w:rPr>
          <w:rFonts w:ascii="Times New Roman" w:hAnsi="Times New Roman" w:eastAsia="Times New Roman"/>
          <w:b w:val="0"/>
          <w:i/>
          <w:sz w:val="18"/>
        </w:rPr>
      </w:pPr>
    </w:p>
    <w:p>
      <w:pPr>
        <w:spacing w:before="40" w:after="200"/>
        <w:ind w:firstLine="0"/>
        <w:jc w:val="center"/>
        <w:rPr>
          <w:rFonts w:ascii="Times New Roman" w:hAnsi="Times New Roman" w:eastAsia="Times New Roman"/>
          <w:b w:val="0"/>
          <w:i/>
          <w:sz w:val="18"/>
        </w:rPr>
      </w:pP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Resultado cuantitativo de multas (corrida de referencia 11 de agosto de 2026):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Fuente / tabla staging</w:t>
            </w:r>
          </w:p>
        </w:tc>
        <w:tc>
          <w:tcPr>
            <w:tcW w:w="3192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Filas</w:t>
            </w:r>
          </w:p>
        </w:tc>
        <w:tc>
          <w:tcPr>
            <w:tcW w:w="3192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Marca FUENTE / destino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GS1 Multas coercitivas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GS1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GS1 Etapas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55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GS_ETAPA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GS2 Multas (OD Lambayeque / CRES)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GS2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Oracle VW_MULTA_COERCITIVA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530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MySQL T_MVC_MULTACOERCITIVA_MC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MYSQL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Total UNION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626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REPOCSEP.RPT_MULTA_COERCITIVA</w:t>
            </w:r>
          </w:p>
        </w:tc>
      </w:tr>
    </w:tbl>
    <w:p/>
    <w:p>
      <w:pPr>
        <w:spacing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Cuadro 3. Volúmenes de multas (UNION).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Integración de informes de supervisión en el mismo entregable: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8"/>
        <w:gridCol w:w="2394"/>
        <w:gridCol w:w="2430"/>
        <w:gridCol w:w="23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Origen</w:t>
            </w:r>
          </w:p>
        </w:tc>
        <w:tc>
          <w:tcPr>
            <w:tcW w:w="2394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Staging H2</w:t>
            </w:r>
          </w:p>
        </w:tc>
        <w:tc>
          <w:tcPr>
            <w:tcW w:w="2394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Destino REPOCSEP</w:t>
            </w:r>
          </w:p>
        </w:tc>
        <w:tc>
          <w:tcPr>
            <w:tcW w:w="2394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Motor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SISUD.CSEP_INFORMES_VIEW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STG_ORA_CSEP_INFORMES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RPT_INFORME_SUPERVISION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Hop only (sin R)</w:t>
            </w:r>
          </w:p>
        </w:tc>
      </w:tr>
    </w:tbl>
    <w:p/>
    <w:p>
      <w:pPr>
        <w:spacing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Cuadro 4. Integración de informes.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El volumen exacto de filas de informes se confirma en la corrida de validación en el entorno Windows (Play de wf_staging.hwf). El archivo docs/input_examples/CSEP_INFORMES_VIEW_*.sql se usó únicamente como plantilla de mapeo de columnas, no como fuente productiva.</w:t>
      </w:r>
    </w:p>
    <w:p>
      <w:pPr>
        <w:spacing w:before="280" w:after="16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3. METODOLOGÍA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La metodología combina el inventario de fuentes institucionales, la implementación de un flujo ETL reproducible y la auditoría de calidad sobre las bases consolidadas: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(i) Inventario y caracterización de las fuentes proporcionadas por la CSEP (planillas Google Sheets de seguimiento de multas, vista SISUD de multas, tabla gapps, vista CSEP_INFORMES_VIEW).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(ii) Diseño por capas: extracción con Apache Hop; landing en H2 in-memory (mem:csep, puerto 9092) con reset limpio en cada corrida; consolidación diferenciada —R para el UNION de multas; Hop para la RPT de informes—; carga a REPOCSEP.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(iii) Revisión estructural (actividad b): cotejo de grano, llaves y campos homologables entre fuentes y RPT.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(iv) Validación (actividad c): métricas de completitud y unicidad; detección de #N/A; evaluación de cruces; registro de riesgos de puente.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(v) Trazabilidad: FUENTE y FECHA_CARGA en multas; FECHA_CARGA en informes; workflow wf_staging.hwf reejecutable.</w:t>
      </w:r>
    </w:p>
    <w:p>
      <w:pPr>
        <w:spacing w:after="16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[FIGURA 1 — Insertar captura del log de Apache Hop de wf_staging (Reset H2 → load_sheets → Oracle multas → Pipeline Informes → MySQL → Ensure DDL / Pipeline RPT Informes → Run R).]</w:t>
      </w:r>
    </w:p>
    <w:p>
      <w:pPr>
        <w:spacing w:before="280" w:after="160"/>
        <w:ind w:firstLine="0"/>
        <w:rPr>
          <w:rFonts w:ascii="Times New Roman" w:hAnsi="Times New Roman" w:eastAsia="Times New Roman"/>
          <w:b/>
          <w:i w:val="0"/>
          <w:sz w:val="26"/>
        </w:rPr>
      </w:pPr>
    </w:p>
    <w:p>
      <w:pPr>
        <w:spacing w:before="280" w:after="160"/>
        <w:ind w:firstLine="0"/>
        <w:rPr>
          <w:rFonts w:ascii="Times New Roman" w:hAnsi="Times New Roman" w:eastAsia="Times New Roman"/>
          <w:b/>
          <w:i w:val="0"/>
          <w:sz w:val="26"/>
        </w:rPr>
      </w:pPr>
      <w:r>
        <w:drawing>
          <wp:inline distT="0" distB="0" distL="114300" distR="114300">
            <wp:extent cx="6078855" cy="2915285"/>
            <wp:effectExtent l="0" t="0" r="17145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885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80" w:after="16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4. ACTIVIDAD A) CONSOLIDAR E INTEGRAR FUENTES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El literal a) exige consolidar la información relacionada con las estrategias de promoción del cumplimiento contenidas en los informes de supervisión y multas coercitivas, integrando las bases, registros, reportes, formularios u otras fuentes proporcionadas. En esta etapa se operativizó ese mandato sobre el universo de fuentes ya entregado y conectable.</w:t>
      </w:r>
    </w:p>
    <w:p>
      <w:pPr>
        <w:spacing w:before="200" w:after="160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4.1 Fuentes integradas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  <w:gridCol w:w="2334"/>
        <w:gridCol w:w="2705"/>
        <w:gridCol w:w="24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N.°</w:t>
            </w:r>
          </w:p>
        </w:tc>
        <w:tc>
          <w:tcPr>
            <w:tcW w:w="2394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Origen</w:t>
            </w:r>
          </w:p>
        </w:tc>
        <w:tc>
          <w:tcPr>
            <w:tcW w:w="2394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Objeto</w:t>
            </w:r>
          </w:p>
        </w:tc>
        <w:tc>
          <w:tcPr>
            <w:tcW w:w="2394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Destino STG / RPT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Google Sheets GS1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Hojas «1) Multas coercitivas» y «2) Etapas»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STG_GS1_* → RPT multas (GS1, GS_ETAPA)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Google Sheets GS2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Hoja «5) Multas Coercitivas» (OD Lambayeque / CRES)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STG_GS2_* → RPT multas (GS2)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Oracle SISUD (oefabd)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VW_MULTA_COERCITIVA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STG_ORA_VW_* → RPT multas (ORA)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MySQL gapps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T_MVC_MULTACOERCITIVA_MC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STG_MYSQL_* → RPT multas (MYSQL)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Oracle SISUD (oefabd)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CSEP_INFORMES_VIEW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STG_ORA_CSEP_INFORMES → RPT_INFORME_SUPERVISION</w:t>
            </w:r>
          </w:p>
        </w:tc>
      </w:tr>
    </w:tbl>
    <w:p/>
    <w:p>
      <w:pPr>
        <w:spacing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Cuadro 5. Inventario de fuentes.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La autenticación a Google Sheets se realiza con cuenta de servicio (client_secret.json). Las conexiones Oracle SISUD, MySQL y REPOCSEP operan vía JDBC y variables DB_* del proyecto Hop. No se consignan contraseñas en este informe.</w:t>
      </w:r>
    </w:p>
    <w:p>
      <w:pPr>
        <w:spacing w:before="200" w:after="160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4.2 Arquitectura y criterio de consolidación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Las multas se consolidan por apilado (UNION) con columna FUENTE, porque COD_MA (planillas de seguimiento) y CUM (núcleo SISUD) no son el mismo identificador de negocio. Un INNER JOIN prematuro habría descartado o distorsionado el universo. Los informes, al proceder de una sola vista con grano único (IDACTIVIDAD), se cargan 1:1 con Hop hacia RPT_INFORME_SUPERVISION, sin pasar por la capa R.</w:t>
      </w:r>
    </w:p>
    <w:p>
      <w:pPr>
        <w:spacing w:after="160" w:line="276" w:lineRule="auto"/>
        <w:ind w:firstLine="425"/>
        <w:jc w:val="both"/>
        <w:rPr>
          <w:rFonts w:ascii="Times New Roman" w:hAnsi="Times New Roman" w:eastAsia="Times New Roman"/>
          <w:b w:val="0"/>
          <w:i w:val="0"/>
          <w:sz w:val="22"/>
        </w:rPr>
      </w:pPr>
      <w:r>
        <w:rPr>
          <w:rFonts w:ascii="Times New Roman" w:hAnsi="Times New Roman" w:eastAsia="Times New Roman"/>
          <w:b w:val="0"/>
          <w:i w:val="0"/>
          <w:sz w:val="22"/>
        </w:rPr>
        <w:t>Orquestación de wf_staging.hwf: Reset H2 clean → load_sheets.hwf → Pipeline Oracle (multas) → Pipeline Informes (STG) → Pipeline MySQL → Ensure RPT Informes DDL → Pipeline RPT Informes → Run R (solo multas) → Success. Artefactos: pipelines/pl_stage_informes.hpl, pipelines/pl_rpt_informes.hpl, sql/create_ORACLE_RPT_INFORME_SUPERVISION.sql, r/logica/consolidar_multas.R.</w:t>
      </w:r>
    </w:p>
    <w:p>
      <w:pPr>
        <w:spacing w:after="160" w:line="276" w:lineRule="auto"/>
        <w:ind w:firstLine="425"/>
        <w:jc w:val="both"/>
      </w:pPr>
    </w:p>
    <w:p>
      <w:pPr>
        <w:spacing w:after="160" w:line="276" w:lineRule="auto"/>
        <w:ind w:firstLine="425"/>
        <w:jc w:val="both"/>
      </w:pPr>
      <w:r>
        <w:drawing>
          <wp:inline distT="0" distB="0" distL="114300" distR="114300">
            <wp:extent cx="3724910" cy="1717675"/>
            <wp:effectExtent l="0" t="0" r="889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91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both"/>
        <w:rPr>
          <w:rFonts w:ascii="Times New Roman" w:hAnsi="Times New Roman" w:eastAsia="Times New Roman"/>
          <w:b w:val="0"/>
          <w:i w:val="0"/>
          <w:sz w:val="22"/>
        </w:rPr>
      </w:pPr>
    </w:p>
    <w:p>
      <w:pPr>
        <w:spacing w:before="280" w:after="16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5. ACTIVIDAD B) REVISAR ESTRUCTURA Y CONTENIDO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El literal b) exige revisar la estructura y contenido de las bases disponibles, verificando la correspondencia entre campos, variables, criterios de clasificación, periodos de análisis e indicadores vinculados.</w:t>
      </w:r>
    </w:p>
    <w:p>
      <w:pPr>
        <w:spacing w:before="200" w:after="160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5.1 Grano de cada base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Fuente</w:t>
            </w:r>
          </w:p>
        </w:tc>
        <w:tc>
          <w:tcPr>
            <w:tcW w:w="2394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Grano (una fila equivale a…)</w:t>
            </w:r>
          </w:p>
        </w:tc>
        <w:tc>
          <w:tcPr>
            <w:tcW w:w="2394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Llave natural</w:t>
            </w:r>
          </w:p>
        </w:tc>
        <w:tc>
          <w:tcPr>
            <w:tcW w:w="2394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GS1 / GS2 Multas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Medida/multa en seguimiento de planilla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COD_MA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GS1 y GS2 no se solapan (ODs distintas)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GS1 Etapas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Etapa de un proyecto de multa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COD_PROY_MC + NRO_ETAPA_MC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Relación 1:N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Oracle VW multa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Multa en el núcleo SISUD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CUM (+ CAM)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Universo formal del core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MySQL gapps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Registro de la aplicación de seguimiento MC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NU_IDMC / TX_IDCUM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Muestra operativa reducida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CSEP_INFORMES_VIEW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Actividad / informe de supervisión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IDACTIVIDAD</w:t>
            </w:r>
          </w:p>
        </w:tc>
        <w:tc>
          <w:tcPr>
            <w:tcW w:w="2394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 es una multa</w:t>
            </w:r>
          </w:p>
        </w:tc>
      </w:tr>
    </w:tbl>
    <w:p/>
    <w:p>
      <w:pPr>
        <w:spacing w:before="40" w:after="200"/>
        <w:ind w:firstLine="0"/>
        <w:jc w:val="center"/>
        <w:rPr>
          <w:rFonts w:ascii="Times New Roman" w:hAnsi="Times New Roman" w:eastAsia="Times New Roman"/>
          <w:b w:val="0"/>
          <w:i/>
          <w:sz w:val="18"/>
        </w:rPr>
      </w:pPr>
      <w:r>
        <w:rPr>
          <w:rFonts w:ascii="Times New Roman" w:hAnsi="Times New Roman" w:eastAsia="Times New Roman"/>
          <w:b w:val="0"/>
          <w:i/>
          <w:sz w:val="18"/>
        </w:rPr>
        <w:t>Cuadro 6. Grano y llaves naturales.</w:t>
      </w:r>
    </w:p>
    <w:p>
      <w:pPr>
        <w:spacing w:before="200" w:after="160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.2 Correspondencia de variables (síntesis)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En multas, la homologación hacia RPT_MULTA_COERCITIVA concentra campos puente (COD_MA, COD_PROY_MC, CUM, CAM, EXPEDIENTE, ADMINISTRADO, MONTO_S, MONTO_UIT, ESTADO) y conserva bloques específicos de seguimiento Sheets, de etapas, de SISUD y de gapps. Las columnas no aportadas por una fuente quedan nulas; esa laxitud es intencional en un landing analítico.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En informes, RPT_INFORME_SUPERVISION conserva el diccionario operativo de CSEP_INFORMES_VIEW, con énfasis analítico en IDACTIVIDAD, TXCUC, TXNUMEXP, TXADMINISTRADO, TXTIPSUP (REGULAR, ESPECIAL, DOCUMENTAL, entre otros), TXFUENTE (p. ej. PLANEFA), TXCOORDINACION, TXINFORME, FEINFORME, TXRECOMENDACION (p. ej. INICIAR PAS, ARCHIVAR) y los hitos de elaboración y revisión del proyecto de informe. El catálogo completo figura en h2/sql/01_schema.sql y en el DDL Oracle correspondiente.</w:t>
      </w:r>
    </w:p>
    <w:p>
      <w:pPr>
        <w:spacing w:before="200" w:after="160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5.3 Clasificación, periodos e indicadores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Sin aplicar aún reglas de homologación, se identificaron ejes de clasificación ya presentes: origen institucional u OD (sufijo de COD_MA y spreadsheet); sistema de registro (planilla, SISUD, gapps); etapa del proyecto de multa (ACCION_MC, EST_ETAPA_MC); ameritación y cobranza en planillas; y, en informes, coordinación/sector, tipo de supervisión, fuente PLANEFA y recomendación.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No se aplicó filtro de corte temporal: ello constituye una decisión de depuración del Segundo Entregable. Existen fechas suficientes (Sheets, FECHA_EMISION, FEINFORME y fechas de proyecto) para un recorte posterior acordado con el área usuaria.</w:t>
      </w:r>
    </w:p>
    <w:p>
      <w:pPr>
        <w:spacing w:after="160" w:line="276" w:lineRule="auto"/>
        <w:ind w:firstLine="425"/>
        <w:jc w:val="both"/>
        <w:rPr>
          <w:rFonts w:ascii="Times New Roman" w:hAnsi="Times New Roman" w:eastAsia="Times New Roman"/>
          <w:b w:val="0"/>
          <w:i w:val="0"/>
          <w:sz w:val="22"/>
        </w:rPr>
      </w:pPr>
      <w:r>
        <w:rPr>
          <w:rFonts w:ascii="Times New Roman" w:hAnsi="Times New Roman" w:eastAsia="Times New Roman"/>
          <w:b w:val="0"/>
          <w:i w:val="0"/>
          <w:sz w:val="22"/>
        </w:rPr>
        <w:t>Indicadores tentativos —aún no calculados; el literal g corresponde al Tercer Entregable— cuyos insumos ya están en las bases: número de multas en seguimiento (COD_MA); proyectos y etapas; stock y montos SISUD; multas con pago o vencidas en planilla; recomendaciones de informe (TXRECOMENDACION); y cobertura de cruce informe–multa (a definir).</w:t>
      </w:r>
    </w:p>
    <w:p>
      <w:pPr>
        <w:spacing w:after="160" w:line="276" w:lineRule="auto"/>
        <w:ind w:firstLine="425"/>
        <w:jc w:val="both"/>
        <w:rPr>
          <w:rFonts w:ascii="Times New Roman" w:hAnsi="Times New Roman" w:eastAsia="Times New Roman"/>
          <w:b w:val="0"/>
          <w:i w:val="0"/>
          <w:sz w:val="22"/>
        </w:rPr>
      </w:pPr>
    </w:p>
    <w:p>
      <w:pPr>
        <w:spacing w:after="160" w:line="276" w:lineRule="auto"/>
        <w:ind w:firstLine="425"/>
        <w:jc w:val="both"/>
        <w:rPr>
          <w:rFonts w:ascii="Times New Roman" w:hAnsi="Times New Roman" w:eastAsia="Times New Roman"/>
          <w:b w:val="0"/>
          <w:i w:val="0"/>
          <w:sz w:val="22"/>
        </w:rPr>
      </w:pPr>
    </w:p>
    <w:p>
      <w:pPr>
        <w:spacing w:after="160" w:line="276" w:lineRule="auto"/>
        <w:ind w:firstLine="425"/>
        <w:jc w:val="both"/>
        <w:rPr>
          <w:rFonts w:ascii="Times New Roman" w:hAnsi="Times New Roman" w:eastAsia="Times New Roman"/>
          <w:b w:val="0"/>
          <w:i w:val="0"/>
          <w:sz w:val="22"/>
        </w:rPr>
      </w:pPr>
    </w:p>
    <w:p>
      <w:pPr>
        <w:spacing w:after="160" w:line="276" w:lineRule="auto"/>
        <w:ind w:firstLine="425"/>
        <w:jc w:val="both"/>
        <w:rPr>
          <w:rFonts w:ascii="Times New Roman" w:hAnsi="Times New Roman" w:eastAsia="Times New Roman"/>
          <w:b w:val="0"/>
          <w:i w:val="0"/>
          <w:sz w:val="22"/>
        </w:rPr>
      </w:pPr>
    </w:p>
    <w:p>
      <w:pPr>
        <w:spacing w:after="160" w:line="276" w:lineRule="auto"/>
        <w:ind w:firstLine="425"/>
        <w:jc w:val="both"/>
        <w:rPr>
          <w:rFonts w:ascii="Times New Roman" w:hAnsi="Times New Roman" w:eastAsia="Times New Roman"/>
          <w:b w:val="0"/>
          <w:i w:val="0"/>
          <w:sz w:val="22"/>
        </w:rPr>
      </w:pPr>
    </w:p>
    <w:p>
      <w:pPr>
        <w:spacing w:after="160" w:line="276" w:lineRule="auto"/>
        <w:ind w:firstLine="425"/>
        <w:jc w:val="both"/>
        <w:rPr>
          <w:rFonts w:hint="default"/>
          <w:b w:val="0"/>
          <w:i w:val="0"/>
          <w:sz w:val="22"/>
          <w:lang/>
        </w:rPr>
      </w:pPr>
    </w:p>
    <w:p>
      <w:pPr>
        <w:spacing w:after="160" w:line="276" w:lineRule="auto"/>
        <w:ind w:firstLine="425"/>
        <w:jc w:val="both"/>
        <w:rPr>
          <w:rFonts w:hint="default"/>
          <w:b w:val="0"/>
          <w:i w:val="0"/>
          <w:sz w:val="22"/>
          <w:lang/>
        </w:rPr>
      </w:pPr>
    </w:p>
    <w:p>
      <w:pPr>
        <w:spacing w:after="160" w:line="276" w:lineRule="auto"/>
        <w:ind w:firstLine="425"/>
        <w:jc w:val="both"/>
        <w:rPr>
          <w:rFonts w:hint="default"/>
          <w:b w:val="0"/>
          <w:i w:val="0"/>
          <w:sz w:val="22"/>
          <w:lang/>
        </w:rPr>
      </w:pPr>
    </w:p>
    <w:p>
      <w:pPr>
        <w:spacing w:after="160" w:line="276" w:lineRule="auto"/>
        <w:ind w:firstLine="425"/>
        <w:jc w:val="both"/>
        <w:rPr>
          <w:rFonts w:ascii="Times New Roman" w:hAnsi="Times New Roman" w:eastAsia="Times New Roman"/>
          <w:b w:val="0"/>
          <w:i w:val="0"/>
          <w:sz w:val="22"/>
        </w:rPr>
      </w:pPr>
    </w:p>
    <w:p>
      <w:pPr>
        <w:spacing w:after="160" w:line="276" w:lineRule="auto"/>
        <w:ind w:firstLine="425"/>
        <w:jc w:val="both"/>
        <w:rPr>
          <w:rFonts w:ascii="Times New Roman" w:hAnsi="Times New Roman" w:eastAsia="Times New Roman"/>
          <w:b w:val="0"/>
          <w:i w:val="0"/>
          <w:sz w:val="22"/>
        </w:rPr>
      </w:pPr>
    </w:p>
    <w:p>
      <w:pPr>
        <w:spacing w:after="160" w:line="276" w:lineRule="auto"/>
        <w:ind w:firstLine="425"/>
        <w:jc w:val="both"/>
        <w:rPr>
          <w:rFonts w:ascii="Times New Roman" w:hAnsi="Times New Roman" w:eastAsia="Times New Roman"/>
          <w:b w:val="0"/>
          <w:i w:val="0"/>
          <w:sz w:val="22"/>
        </w:rPr>
      </w:pPr>
    </w:p>
    <w:p>
      <w:pPr>
        <w:spacing w:after="160" w:line="276" w:lineRule="auto"/>
        <w:ind w:firstLine="425"/>
        <w:jc w:val="both"/>
        <w:rPr>
          <w:rFonts w:ascii="Times New Roman" w:hAnsi="Times New Roman" w:eastAsia="Times New Roman"/>
          <w:b w:val="0"/>
          <w:i w:val="0"/>
          <w:sz w:val="22"/>
        </w:rPr>
      </w:pPr>
    </w:p>
    <w:p>
      <w:pPr>
        <w:spacing w:before="280" w:after="16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6. ACTIVIDAD C) VALIDAR COMPLETITUD, CONSISTENCIA Y COHERENCIA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El literal c) exige validar la completitud, consistencia y coherencia de la información recopilada, identificando incompletos, duplicados, inconsistentes, valores fuera de rango, errores de codificación u otros hallazgos de calidad.</w:t>
      </w:r>
    </w:p>
    <w:p>
      <w:pPr>
        <w:spacing w:before="200" w:after="160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6.1 Multas (corrida 11/08/2026)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915"/>
        <w:gridCol w:w="1915"/>
        <w:gridCol w:w="1915"/>
        <w:gridCol w:w="19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5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Fuente</w:t>
            </w:r>
          </w:p>
        </w:tc>
        <w:tc>
          <w:tcPr>
            <w:tcW w:w="1915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Filas</w:t>
            </w:r>
          </w:p>
        </w:tc>
        <w:tc>
          <w:tcPr>
            <w:tcW w:w="1915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Campo clave</w:t>
            </w:r>
          </w:p>
        </w:tc>
        <w:tc>
          <w:tcPr>
            <w:tcW w:w="1915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Distintos</w:t>
            </w:r>
          </w:p>
        </w:tc>
        <w:tc>
          <w:tcPr>
            <w:tcW w:w="1915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Hallazgo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GS1 Multas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COD_MA 16/16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Cuatro filas extra: posible duplicado o acto sucesivo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GS2 Multas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COD_MA 21/21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Tres COD_MA repetidos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Etapas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55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COD_PROY_MC 55/55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Grano 1:N; join exacto con multas requiere normalizar texto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Oracle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530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CUM 530/530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530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Llave SISUD completa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MySQL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TX_IDCUM 2/4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1915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50 % de filas sin CUM/CAM</w:t>
            </w:r>
          </w:p>
        </w:tc>
      </w:tr>
    </w:tbl>
    <w:p/>
    <w:p>
      <w:pPr>
        <w:spacing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Cuadro 7. Completitud y unicidad — multas.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Consistencia entre mundos: la intersección GS1 ∩ GS2 por COD_MA es vacía (universos de OD distintos); la intersección COD_MA ∩ CUM es cero (no son el mismo identificador); el puente por expediente es débil. Las celdas #N/A de Google Sheets rompían la carga Hop cuando el campo era numérico; se resolvió tipificando landing como texto. Los dominios de estado (FG_ESTADOMULTA frente a ACTIVO/INCUMPLIDO) no se homologaron en esta etapa.</w:t>
      </w:r>
    </w:p>
    <w:p>
      <w:pPr>
        <w:spacing w:before="200" w:after="160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6.2 Informes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La llave de negocio natural es IDACTIVIDAD. El riesgo estructural más relevante para el análisis futuro es la alta proporción de TXNUMEXP nulo observada en la muestra del dump de mapeo: el puente hacia NUMERO_EXPEDIENTE o EXP_INF_INCUMP de multas no puede asumirse. Asimismo, TXTIPSUP, TXPRY_ESTADO y TXRECOMENDACION presentan dominios que deberán homologarse en la depuración del Segundo Entregable.</w:t>
      </w:r>
    </w:p>
    <w:p>
      <w:pPr>
        <w:spacing w:before="280" w:after="16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7. PERSPECTIVA DE DATA WAREHOUSE Y LITERAL F (FUTURO)</w:t>
      </w:r>
    </w:p>
    <w:p>
      <w:pPr>
        <w:spacing w:after="160" w:line="276" w:lineRule="auto"/>
        <w:ind w:firstLine="425"/>
        <w:jc w:val="both"/>
        <w:rPr>
          <w:rFonts w:ascii="Times New Roman" w:hAnsi="Times New Roman" w:eastAsia="Times New Roman"/>
          <w:b w:val="0"/>
          <w:i w:val="0"/>
          <w:sz w:val="22"/>
        </w:rPr>
      </w:pPr>
      <w:r>
        <w:rPr>
          <w:rFonts w:ascii="Times New Roman" w:hAnsi="Times New Roman" w:eastAsia="Times New Roman"/>
          <w:b w:val="0"/>
          <w:i w:val="0"/>
          <w:sz w:val="22"/>
        </w:rPr>
        <w:t>Esta sección no desarrolla el literal f; documenta el diseño que el Primer Entregable deja preparado, alineado al documento técnico docs/dwh_informes_multas_literal_f.md. El literal f exige procesar y analizar la información sistematizada en informes de supervisión y multas coercitivas para evaluar la efectividad de las estrategias de promoción del cumplimiento. Eso no se resuelve apilando ambos universos en una sola tabla: son dos hechos de negocio.</w:t>
      </w:r>
    </w:p>
    <w:p>
      <w:pPr>
        <w:spacing w:after="160" w:line="276" w:lineRule="auto"/>
        <w:ind w:firstLine="425"/>
        <w:jc w:val="both"/>
        <w:rPr>
          <w:rFonts w:ascii="Times New Roman" w:hAnsi="Times New Roman" w:eastAsia="Times New Roman"/>
          <w:b w:val="0"/>
          <w:i w:val="0"/>
          <w:sz w:val="22"/>
        </w:rPr>
      </w:pPr>
    </w:p>
    <w:p>
      <w:pPr>
        <w:spacing w:after="160" w:line="276" w:lineRule="auto"/>
        <w:ind w:firstLine="425"/>
        <w:jc w:val="both"/>
        <w:rPr>
          <w:rFonts w:ascii="Times New Roman" w:hAnsi="Times New Roman" w:eastAsia="Times New Roman"/>
          <w:b w:val="0"/>
          <w:i w:val="0"/>
          <w:sz w:val="22"/>
        </w:rPr>
      </w:pPr>
    </w:p>
    <w:p>
      <w:pPr>
        <w:spacing w:after="160" w:line="276" w:lineRule="auto"/>
        <w:ind w:firstLine="425"/>
        <w:jc w:val="both"/>
        <w:rPr>
          <w:rFonts w:ascii="Times New Roman" w:hAnsi="Times New Roman" w:eastAsia="Times New Roman"/>
          <w:b w:val="0"/>
          <w:i w:val="0"/>
          <w:sz w:val="22"/>
        </w:rPr>
      </w:pPr>
    </w:p>
    <w:p>
      <w:pPr>
        <w:spacing w:before="200" w:after="160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7.1 Capas bronze / silver / gold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Capa</w:t>
            </w:r>
          </w:p>
        </w:tc>
        <w:tc>
          <w:tcPr>
            <w:tcW w:w="3192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Artefacto CSEP</w:t>
            </w:r>
          </w:p>
        </w:tc>
        <w:tc>
          <w:tcPr>
            <w:tcW w:w="3192" w:type="dxa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Responsable TDR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Bronze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H2 STG_* (landing por corrida)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Silver landing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RPT_MULTA_COERCITIVA y RPT_INFORME_SUPERVISION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a–c (este entregable)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Silver depurado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FACT_* / tablas limpias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d–e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Gold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Cruce de efectividad, indicadores, salidas BI</w:t>
            </w:r>
          </w:p>
        </w:tc>
        <w:tc>
          <w:tcPr>
            <w:tcW w:w="3192" w:type="dxa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f–h</w:t>
            </w:r>
          </w:p>
        </w:tc>
      </w:tr>
    </w:tbl>
    <w:p/>
    <w:p>
      <w:pPr>
        <w:spacing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Cuadro 8. Capas hacia el DWH (diseño).</w:t>
      </w:r>
    </w:p>
    <w:p>
      <w:pPr>
        <w:spacing w:after="160" w:line="276" w:lineRule="auto"/>
        <w:ind w:firstLine="425"/>
        <w:jc w:val="both"/>
        <w:rPr>
          <w:rFonts w:ascii="Times New Roman" w:hAnsi="Times New Roman" w:eastAsia="Times New Roman"/>
          <w:b w:val="0"/>
          <w:i w:val="0"/>
          <w:sz w:val="22"/>
        </w:rPr>
      </w:pPr>
      <w:r>
        <w:rPr>
          <w:rFonts w:ascii="Times New Roman" w:hAnsi="Times New Roman" w:eastAsia="Times New Roman"/>
          <w:b w:val="0"/>
          <w:i w:val="0"/>
          <w:sz w:val="22"/>
        </w:rPr>
        <w:t>El entregable 1 materializa bronze y silver landing. El silver depurado y el gold se construirán cuando existan reglas de homologación y un puente de llaves acordado con el área usuaria.</w:t>
      </w:r>
    </w:p>
    <w:p>
      <w:pPr>
        <w:spacing w:after="160" w:line="276" w:lineRule="auto"/>
        <w:ind w:firstLine="425"/>
        <w:jc w:val="left"/>
      </w:pPr>
      <w:r>
        <w:drawing>
          <wp:inline distT="0" distB="0" distL="114300" distR="114300">
            <wp:extent cx="6280150" cy="2575560"/>
            <wp:effectExtent l="0" t="0" r="6350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both"/>
      </w:pPr>
    </w:p>
    <w:p>
      <w:pPr>
        <w:spacing w:before="200" w:after="160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7.2 Dimensiones y puentes candidatos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Dimensiones compartidas propuestas para el Segundo Entregable: DIM_ADMINISTRADO (TXADMINISTRADO / ADMINISTRADO / ADM); DIM_EXPEDIENTE (TXNUMEXP, NUMERO_EXPEDIENTE, EXP_INF_INCUMP); DIM_PERIODO (FEINFORME, FECHA_EMISION, fechas Sheets); DIM_SECTOR (TXCOORDINACION, TXSUBSECTOR_UND, sufijos OD); DIM_ESTRATEGIA (TXRECOMENDACION, AMERIT_MC, estados de multa).</w:t>
      </w:r>
    </w:p>
    <w:p>
      <w:pPr>
        <w:spacing w:after="160" w:line="276" w:lineRule="auto"/>
        <w:ind w:firstLine="425"/>
        <w:jc w:val="both"/>
        <w:rPr>
          <w:rFonts w:ascii="Times New Roman" w:hAnsi="Times New Roman" w:eastAsia="Times New Roman"/>
          <w:b w:val="0"/>
          <w:i w:val="0"/>
          <w:sz w:val="22"/>
        </w:rPr>
      </w:pPr>
      <w:r>
        <w:rPr>
          <w:rFonts w:ascii="Times New Roman" w:hAnsi="Times New Roman" w:eastAsia="Times New Roman"/>
          <w:b w:val="0"/>
          <w:i w:val="0"/>
          <w:sz w:val="22"/>
        </w:rPr>
        <w:t>Puentes a probar —no a asumir—: TXNUMEXP ↔ expediente de multa (riesgo de nulos); administrado (puede requerir normalización de razón social); TXCUC frente a códigos de planilla (no equivale a CUM ni a COD_MA sin regla CSEP); COD_MA ↔ CUM (intersección nula ya diagnosticada). Hasta validar cobertura, los tableros deben filtrar por hecho y no sumar 626 + N_informes como un solo universo.</w:t>
      </w:r>
    </w:p>
    <w:p>
      <w:pPr>
        <w:spacing w:before="200" w:after="160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7.3 Roadmap e implicancia para consumo analítico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Roadmap: mes 1 — dos RPT cargadas, diccionarios y métricas de calidad (presente informe); mes 2 — depuración (d), controles de trazabilidad (e) y análisis de efectividad (f) sobre hechos separados o sobre el subconjunto cruzable; mes 3 — cuadros e indicadores (g) y hallazgos de gestión (h).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Para Power BI u otra herramienta: un dataset por hecho, o un modelo estrella con dos hechos y dimensiones compartidas. TXRECOMENDACION y AMERIT_MC / ESTADO_* son candidatos a medir “estrategia” una vez homologados. Los controles del literal e deberán cuadrar, por corrida, COUNT origen = STG = RPT por fuente, con tabla de excepciones si se filtran filas.</w:t>
      </w:r>
    </w:p>
    <w:p>
      <w:pPr>
        <w:spacing w:before="280" w:after="16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8. CONCLUSIONES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Primero. Se cumplió la actividad a) al integrar las fuentes de multas coercitivas e informes de supervisión en un flujo ETL reproducible y en dos tablas analíticas REPOCSEP.RPT_MULTA_COERCITIVA (626 filas en la corrida de referencia de multas) y REPOCSEP.RPT_INFORME_SUPERVISION (Hop-only).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Segundo. Se cumplió la actividad b) al documentar el grano de cada base, la correspondencia de campos, los criterios de clasificación, los periodos observables y el catálogo preliminar de indicadores, dejando expresa constancia de que informe y multa no comparten grano ni, por ahora, una llave unívoca.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Tercero. Se cumplió la actividad c) al cuantificar completitud, duplicados, nulos, #N/A, la no equivalencia COD_MA–CUM y el riesgo de TXNUMEXP nulo en informes.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Cuarto. La consolidación UNION de multas y la carga 1:1 de informes son técnicamente adecuadas para el Primer Entregable: no se pierde información, se preserva la trazabilidad del origen y se evita un cruce inválido que distorsionaría la evaluación posterior de efectividad.</w:t>
      </w:r>
    </w:p>
    <w:p>
      <w:pPr>
        <w:spacing w:after="160" w:line="276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Quinto. El diseño de data warehouse expuesto en la sección 7 —alineado a docs/dwh_informes_multas_literal_f.md— prepara el Segundo y el Tercer Entregable sin adelantar los literales d) a h).</w:t>
      </w:r>
    </w:p>
    <w:p>
      <w:pPr>
        <w:spacing w:before="360"/>
      </w:pPr>
      <w:r>
        <w:rPr>
          <w:rFonts w:ascii="Times New Roman" w:hAnsi="Times New Roman" w:eastAsia="Times New Roman"/>
          <w:b w:val="0"/>
          <w:i w:val="0"/>
          <w:sz w:val="22"/>
        </w:rPr>
        <w:t>Atentamente,</w:t>
      </w:r>
    </w:p>
    <w:p>
      <w:pPr>
        <w:spacing w:before="80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Eder Oswaldo Ortega Gonzales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Consultor / Especialista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RUC: 10422020298</w:t>
      </w:r>
      <w:bookmarkStart w:id="0" w:name="_GoBack"/>
      <w:bookmarkEnd w:id="0"/>
    </w:p>
    <w:sectPr>
      <w:pgSz w:w="12240" w:h="15840"/>
      <w:pgMar w:top="1247" w:right="124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lfa Slab On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lfa Slab One">
    <w:panose1 w:val="00000500000000000000"/>
    <w:charset w:val="00"/>
    <w:family w:val="auto"/>
    <w:pitch w:val="default"/>
    <w:sig w:usb0="20000007" w:usb1="00000001" w:usb2="00000000" w:usb3="00000000" w:csb0="20000193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Alfa Slab One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Alfa Slab On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Alfa Slab One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Alfa Slab O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FE1FDF"/>
    <w:rsid w:val="6E398C74"/>
    <w:rsid w:val="776F363E"/>
    <w:rsid w:val="F7F7876C"/>
    <w:rsid w:val="FF6D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6" w:lineRule="auto"/>
    </w:pPr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python-docx</dc:creator>
  <dc:description>generated by python-docx</dc:description>
  <cp:lastModifiedBy>eder</cp:lastModifiedBy>
  <dcterms:modified xsi:type="dcterms:W3CDTF">2026-08-14T10:48:09Z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