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rebuchet MS" w:hAnsi="Trebuchet MS" w:cs="Trebuchet MS"/>
          <w:b/>
          <w:bCs/>
          <w:sz w:val="24"/>
          <w:szCs w:val="24"/>
        </w:rPr>
      </w:pPr>
      <w:r>
        <w:rPr>
          <w:rFonts w:hint="default" w:ascii="Trebuchet MS" w:hAnsi="Trebuchet MS" w:cs="Trebuchet MS"/>
          <w:b/>
          <w:bCs/>
          <w:sz w:val="24"/>
          <w:szCs w:val="24"/>
        </w:rPr>
        <w:t>INFORME TÉCNICO N° 001-2026-OEFA/DPEF-CSEP</w:t>
      </w:r>
    </w:p>
    <w:p>
      <w:pPr>
        <w:jc w:val="center"/>
        <w:rPr>
          <w:rFonts w:hint="default" w:ascii="Trebuchet MS" w:hAnsi="Trebuchet MS" w:cs="Trebuchet MS"/>
          <w:b/>
          <w:bCs/>
          <w:sz w:val="24"/>
          <w:szCs w:val="24"/>
        </w:rPr>
      </w:pPr>
    </w:p>
    <w:p>
      <w:pPr>
        <w:rPr>
          <w:rFonts w:hint="default" w:ascii="Trebuchet MS" w:hAnsi="Trebuchet MS" w:cs="Trebuchet MS"/>
          <w:b/>
          <w:bCs/>
          <w:sz w:val="24"/>
          <w:szCs w:val="24"/>
        </w:rPr>
      </w:pPr>
      <w:r>
        <w:rPr>
          <w:rFonts w:hint="default" w:ascii="Trebuchet MS" w:hAnsi="Trebuchet MS" w:cs="Trebuchet MS"/>
          <w:sz w:val="24"/>
          <w:szCs w:val="24"/>
        </w:rPr>
        <w:t xml:space="preserve">A : </w:t>
      </w:r>
      <w:r>
        <w:rPr>
          <w:rFonts w:hint="default" w:ascii="Trebuchet MS" w:hAnsi="Trebuchet MS" w:cs="Trebuchet MS"/>
          <w:b/>
          <w:bCs/>
          <w:sz w:val="24"/>
          <w:szCs w:val="24"/>
        </w:rPr>
        <w:t>IGOR ELIAS MEJIA VERAS</w:t>
      </w:r>
    </w:p>
    <w:p>
      <w:pPr>
        <w:ind w:firstLine="720" w:firstLineChars="0"/>
        <w:jc w:val="left"/>
        <w:rPr>
          <w:rFonts w:hint="default" w:ascii="Trebuchet MS" w:hAnsi="Trebuchet MS" w:cs="Trebuchet MS"/>
          <w:sz w:val="24"/>
          <w:szCs w:val="24"/>
        </w:rPr>
      </w:pPr>
      <w:r>
        <w:rPr>
          <w:rFonts w:hint="default" w:ascii="Trebuchet MS" w:hAnsi="Trebuchet MS" w:cs="Trebuchet MS"/>
          <w:sz w:val="24"/>
          <w:szCs w:val="24"/>
        </w:rPr>
        <w:t xml:space="preserve">Director de la Dirección de Políticas y Estrategias en </w:t>
      </w:r>
      <w:r>
        <w:rPr>
          <w:rFonts w:hint="default" w:ascii="Trebuchet MS" w:hAnsi="Trebuchet MS" w:cs="Trebuchet MS"/>
          <w:sz w:val="24"/>
          <w:szCs w:val="24"/>
        </w:rPr>
        <w:tab/>
      </w:r>
      <w:r>
        <w:rPr>
          <w:rFonts w:hint="default" w:ascii="Trebuchet MS" w:hAnsi="Trebuchet MS" w:cs="Trebuchet MS"/>
          <w:sz w:val="24"/>
          <w:szCs w:val="24"/>
        </w:rPr>
        <w:tab/>
      </w:r>
      <w:r>
        <w:rPr>
          <w:rFonts w:hint="default" w:ascii="Trebuchet MS" w:hAnsi="Trebuchet MS" w:cs="Trebuchet MS"/>
          <w:sz w:val="24"/>
          <w:szCs w:val="24"/>
        </w:rPr>
        <w:tab/>
      </w:r>
      <w:r>
        <w:rPr>
          <w:rFonts w:hint="default" w:ascii="Trebuchet MS" w:hAnsi="Trebuchet MS" w:cs="Trebuchet MS"/>
          <w:sz w:val="24"/>
          <w:szCs w:val="24"/>
        </w:rPr>
        <w:tab/>
      </w:r>
      <w:r>
        <w:rPr>
          <w:rFonts w:hint="default" w:ascii="Trebuchet MS" w:hAnsi="Trebuchet MS" w:cs="Trebuchet MS"/>
          <w:sz w:val="24"/>
          <w:szCs w:val="24"/>
        </w:rPr>
        <w:tab/>
      </w:r>
      <w:r>
        <w:rPr>
          <w:rFonts w:hint="default" w:ascii="Trebuchet MS" w:hAnsi="Trebuchet MS" w:cs="Trebuchet MS"/>
          <w:sz w:val="24"/>
          <w:szCs w:val="24"/>
        </w:rPr>
        <w:t>Fiscalizaciónambiental del OEFA</w:t>
      </w:r>
    </w:p>
    <w:p>
      <w:pPr>
        <w:jc w:val="left"/>
        <w:rPr>
          <w:rFonts w:hint="default" w:ascii="Trebuchet MS" w:hAnsi="Trebuchet MS" w:cs="Trebuchet MS"/>
          <w:sz w:val="24"/>
          <w:szCs w:val="24"/>
        </w:rPr>
      </w:pPr>
    </w:p>
    <w:p>
      <w:pPr>
        <w:rPr>
          <w:rFonts w:hint="default" w:ascii="Trebuchet MS" w:hAnsi="Trebuchet MS" w:cs="Trebuchet MS"/>
          <w:sz w:val="24"/>
          <w:szCs w:val="24"/>
        </w:rPr>
      </w:pPr>
      <w:r>
        <w:rPr>
          <w:rFonts w:hint="default" w:ascii="Trebuchet MS" w:hAnsi="Trebuchet MS" w:cs="Trebuchet MS"/>
          <w:sz w:val="24"/>
          <w:szCs w:val="24"/>
        </w:rPr>
        <w:t xml:space="preserve">Asunto: Primer entregable de la Orden de Servicios N° </w:t>
      </w:r>
      <w:r>
        <w:rPr>
          <w:rFonts w:hint="default" w:ascii="Trebuchet MS" w:hAnsi="Trebuchet MS" w:cs="Trebuchet MS"/>
          <w:b/>
          <w:bCs/>
          <w:sz w:val="24"/>
          <w:szCs w:val="24"/>
        </w:rPr>
        <w:t>02772-2026</w:t>
      </w:r>
    </w:p>
    <w:p>
      <w:pPr>
        <w:rPr>
          <w:rFonts w:hint="default" w:ascii="Trebuchet MS" w:hAnsi="Trebuchet MS" w:cs="Trebuchet MS"/>
          <w:sz w:val="24"/>
          <w:szCs w:val="24"/>
        </w:rPr>
      </w:pPr>
      <w:r>
        <w:rPr>
          <w:rFonts w:hint="default" w:ascii="Trebuchet MS" w:hAnsi="Trebuchet MS" w:cs="Trebuchet MS"/>
          <w:sz w:val="24"/>
          <w:szCs w:val="24"/>
        </w:rPr>
        <w:t>Ref.</w:t>
      </w:r>
      <w:r>
        <w:rPr>
          <w:rFonts w:hint="default" w:ascii="Trebuchet MS" w:hAnsi="Trebuchet MS" w:cs="Trebuchet MS"/>
          <w:sz w:val="24"/>
          <w:szCs w:val="24"/>
        </w:rPr>
        <w:tab/>
      </w:r>
      <w:r>
        <w:rPr>
          <w:rFonts w:hint="default" w:ascii="Trebuchet MS" w:hAnsi="Trebuchet MS" w:cs="Trebuchet MS"/>
          <w:sz w:val="24"/>
          <w:szCs w:val="24"/>
        </w:rPr>
        <w:t xml:space="preserve">: Términos de referencia de la Orden de servicio N° </w:t>
      </w:r>
      <w:r>
        <w:rPr>
          <w:rFonts w:hint="default" w:ascii="Trebuchet MS" w:hAnsi="Trebuchet MS" w:cs="Trebuchet MS"/>
          <w:b/>
          <w:bCs/>
          <w:sz w:val="24"/>
          <w:szCs w:val="24"/>
        </w:rPr>
        <w:t>02772-2026</w:t>
      </w:r>
    </w:p>
    <w:p>
      <w:pPr>
        <w:rPr>
          <w:rFonts w:hint="default" w:ascii="Trebuchet MS" w:hAnsi="Trebuchet MS" w:cs="Trebuchet MS"/>
          <w:sz w:val="24"/>
          <w:szCs w:val="24"/>
        </w:rPr>
      </w:pPr>
      <w:r>
        <w:rPr>
          <w:rFonts w:hint="default" w:ascii="Trebuchet MS" w:hAnsi="Trebuchet MS" w:cs="Trebuchet MS"/>
          <w:sz w:val="24"/>
          <w:szCs w:val="24"/>
        </w:rPr>
        <w:t>Fecha : Lima, 12  de Agosto de 202</w:t>
      </w:r>
      <w:r>
        <w:rPr>
          <w:rFonts w:hint="default" w:ascii="Trebuchet MS" w:hAnsi="Trebuchet MS" w:cs="Trebuchet MS"/>
          <w:sz w:val="24"/>
          <w:szCs w:val="24"/>
        </w:rPr>
        <w:t>6.</w:t>
      </w:r>
      <w:r>
        <w:rPr>
          <w:rFonts w:hint="default" w:ascii="Trebuchet MS" w:hAnsi="Trebuchet MS" w:cs="Trebuchet MS"/>
          <w:sz w:val="24"/>
          <w:szCs w:val="24"/>
        </w:rPr>
        <w:tab/>
      </w:r>
    </w:p>
    <w:p>
      <w:pPr>
        <w:rPr>
          <w:rFonts w:hint="default" w:ascii="Trebuchet MS" w:hAnsi="Trebuchet MS" w:cs="Trebuchet MS"/>
          <w:sz w:val="24"/>
          <w:szCs w:val="24"/>
        </w:rPr>
      </w:pPr>
    </w:p>
    <w:p>
      <w:pPr>
        <w:rPr>
          <w:rFonts w:hint="default" w:ascii="Trebuchet MS" w:hAnsi="Trebuchet MS" w:cs="Trebuchet MS"/>
          <w:sz w:val="24"/>
          <w:szCs w:val="24"/>
        </w:rPr>
      </w:pPr>
      <w:r>
        <w:rPr>
          <w:rFonts w:hint="default" w:ascii="Trebuchet MS" w:hAnsi="Trebuchet MS" w:cs="Trebuchet MS"/>
          <w:sz w:val="24"/>
          <w:szCs w:val="24"/>
        </w:rPr>
        <w:t>Es grato dirigirme a usted, para saludarlo e informarle de las actividades realizadas en relación el primer entregable de la Orden de servicio N° 02387-2026-S.</w:t>
      </w:r>
    </w:p>
    <w:p>
      <w:pPr>
        <w:keepNext/>
        <w:spacing w:before="320" w:after="120"/>
        <w:rPr>
          <w:rFonts w:hint="default" w:ascii="Trebuchet MS" w:hAnsi="Trebuchet MS" w:cs="Trebuchet MS"/>
          <w:b/>
          <w:color w:val="003366"/>
          <w:sz w:val="24"/>
          <w:szCs w:val="24"/>
        </w:rPr>
      </w:pPr>
    </w:p>
    <w:p>
      <w:pPr>
        <w:keepNext/>
        <w:spacing w:before="320" w:after="120"/>
        <w:rPr>
          <w:rFonts w:hint="default" w:ascii="Trebuchet MS" w:hAnsi="Trebuchet MS" w:cs="Trebuchet MS"/>
          <w:color w:val="auto"/>
          <w:sz w:val="24"/>
          <w:szCs w:val="24"/>
        </w:rPr>
      </w:pPr>
      <w:r>
        <w:rPr>
          <w:rFonts w:hint="default" w:ascii="Trebuchet MS" w:hAnsi="Trebuchet MS" w:cs="Trebuchet MS"/>
          <w:b/>
          <w:color w:val="auto"/>
          <w:sz w:val="24"/>
          <w:szCs w:val="24"/>
        </w:rPr>
        <w:t>1. OBJETIVO Y ANTECEDENTES</w:t>
      </w:r>
    </w:p>
    <w:p>
      <w:pPr>
        <w:spacing w:before="0" w:after="120" w:line="276" w:lineRule="auto"/>
        <w:rPr>
          <w:rFonts w:hint="default" w:ascii="Trebuchet MS" w:hAnsi="Trebuchet MS" w:cs="Trebuchet MS"/>
          <w:sz w:val="24"/>
          <w:szCs w:val="24"/>
        </w:rPr>
      </w:pPr>
      <w:r>
        <w:rPr>
          <w:rFonts w:hint="default" w:ascii="Trebuchet MS" w:hAnsi="Trebuchet MS" w:cs="Trebuchet MS"/>
          <w:i w:val="0"/>
          <w:color w:val="333333"/>
          <w:sz w:val="24"/>
          <w:szCs w:val="24"/>
        </w:rPr>
        <w:t>El presente informe tiene por objetivo sustentar las actividades desarrolladas correspondientes al Primer Entregable de la Orden de Servicio, en el marco del fortalecimiento de la infraestructura de datos de la Coordinación de Sistematización, Estadísticas y Optimización de Procesos (CSEP).</w:t>
      </w:r>
    </w:p>
    <w:p>
      <w:pPr>
        <w:spacing w:before="0" w:after="120" w:line="276" w:lineRule="auto"/>
        <w:rPr>
          <w:rFonts w:hint="default" w:ascii="Trebuchet MS" w:hAnsi="Trebuchet MS" w:cs="Trebuchet MS"/>
          <w:i w:val="0"/>
          <w:color w:val="333333"/>
          <w:sz w:val="24"/>
          <w:szCs w:val="24"/>
        </w:rPr>
      </w:pPr>
      <w:r>
        <w:rPr>
          <w:rFonts w:hint="default" w:ascii="Trebuchet MS" w:hAnsi="Trebuchet MS" w:cs="Trebuchet MS"/>
          <w:i w:val="0"/>
          <w:color w:val="333333"/>
          <w:sz w:val="24"/>
          <w:szCs w:val="24"/>
        </w:rPr>
        <w:t>En esta primera etapa se realizó la evaluación técnica, conexión y prototipado de flujos de integración utilizando Apache Hop, analizando la lógica de negocio actual construida en scripts de Lenguaje R (pipelines de RData) para su posterior migración hacia una arquitectura empresarial.</w:t>
      </w: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keepNext/>
        <w:numPr>
          <w:ilvl w:val="0"/>
          <w:numId w:val="7"/>
        </w:numPr>
        <w:spacing w:before="320" w:after="120"/>
        <w:rPr>
          <w:color w:val="auto"/>
        </w:rPr>
      </w:pPr>
      <w:r>
        <w:rPr>
          <w:rFonts w:hint="default" w:ascii="Arial" w:hAnsi="Arial"/>
          <w:b/>
          <w:color w:val="auto"/>
          <w:sz w:val="26"/>
          <w:lang/>
        </w:rPr>
        <w:t xml:space="preserve"> </w:t>
      </w:r>
      <w:r>
        <w:rPr>
          <w:rFonts w:ascii="Arial" w:hAnsi="Arial"/>
          <w:b/>
          <w:color w:val="auto"/>
          <w:sz w:val="26"/>
        </w:rPr>
        <w:t>RESUMEN EJECUTIVO Y PLAN DE TRABAJO REALIZADO</w:t>
      </w:r>
    </w:p>
    <w:p>
      <w:pPr>
        <w:spacing w:before="0" w:after="120" w:line="276" w:lineRule="auto"/>
      </w:pPr>
      <w:r>
        <w:rPr>
          <w:rFonts w:ascii="Arial" w:hAnsi="Arial"/>
          <w:i w:val="0"/>
          <w:color w:val="333333"/>
          <w:sz w:val="20"/>
        </w:rPr>
        <w:t>A continuación se presenta la síntesis ejecutiva del Plan de Trabajo correspondiente a los componentes principales desarrollados en el Primer Entregable:</w:t>
      </w:r>
    </w:p>
    <w:tbl>
      <w:tblPr>
        <w:tblStyle w:val="12"/>
        <w:tblW w:w="0" w:type="auto"/>
        <w:jc w:val="center"/>
        <w:tblLayout w:type="fixed"/>
        <w:tblCellMar>
          <w:top w:w="0" w:type="dxa"/>
          <w:left w:w="108" w:type="dxa"/>
          <w:bottom w:w="0" w:type="dxa"/>
          <w:right w:w="108" w:type="dxa"/>
        </w:tblCellMar>
      </w:tblPr>
      <w:tblGrid>
        <w:gridCol w:w="1806"/>
        <w:gridCol w:w="1806"/>
        <w:gridCol w:w="1806"/>
        <w:gridCol w:w="1806"/>
        <w:gridCol w:w="1806"/>
      </w:tblGrid>
      <w:tr>
        <w:tblPrEx>
          <w:tblCellMar>
            <w:top w:w="0" w:type="dxa"/>
            <w:left w:w="108" w:type="dxa"/>
            <w:bottom w:w="0" w:type="dxa"/>
            <w:right w:w="108" w:type="dxa"/>
          </w:tblCellMar>
        </w:tblPrEx>
        <w:trPr>
          <w:jc w:val="center"/>
        </w:trPr>
        <w:tc>
          <w:tcPr>
            <w:tcW w:w="864" w:type="dxa"/>
            <w:shd w:val="clear" w:color="auto" w:fill="003366"/>
            <w:tcMar>
              <w:top w:w="100" w:type="dxa"/>
              <w:left w:w="100" w:type="dxa"/>
              <w:bottom w:w="100" w:type="dxa"/>
              <w:right w:w="100" w:type="dxa"/>
            </w:tcMar>
          </w:tcPr>
          <w:p>
            <w:pPr>
              <w:jc w:val="center"/>
            </w:pPr>
            <w:r>
              <w:rPr>
                <w:rFonts w:ascii="Arial" w:hAnsi="Arial"/>
                <w:b/>
                <w:color w:val="FFFFFF"/>
                <w:sz w:val="19"/>
              </w:rPr>
              <w:t>Item</w:t>
            </w:r>
          </w:p>
        </w:tc>
        <w:tc>
          <w:tcPr>
            <w:tcW w:w="2592" w:type="dxa"/>
            <w:shd w:val="clear" w:color="auto" w:fill="003366"/>
            <w:tcMar>
              <w:top w:w="100" w:type="dxa"/>
              <w:left w:w="100" w:type="dxa"/>
              <w:bottom w:w="100" w:type="dxa"/>
              <w:right w:w="100" w:type="dxa"/>
            </w:tcMar>
          </w:tcPr>
          <w:p>
            <w:pPr>
              <w:jc w:val="center"/>
            </w:pPr>
            <w:r>
              <w:rPr>
                <w:rFonts w:ascii="Arial" w:hAnsi="Arial"/>
                <w:b/>
                <w:color w:val="FFFFFF"/>
                <w:sz w:val="19"/>
              </w:rPr>
              <w:t>Componentación del Entregable</w:t>
            </w:r>
          </w:p>
        </w:tc>
        <w:tc>
          <w:tcPr>
            <w:tcW w:w="3312" w:type="dxa"/>
            <w:shd w:val="clear" w:color="auto" w:fill="003366"/>
            <w:tcMar>
              <w:top w:w="100" w:type="dxa"/>
              <w:left w:w="100" w:type="dxa"/>
              <w:bottom w:w="100" w:type="dxa"/>
              <w:right w:w="100" w:type="dxa"/>
            </w:tcMar>
          </w:tcPr>
          <w:p>
            <w:pPr>
              <w:jc w:val="center"/>
            </w:pPr>
            <w:r>
              <w:rPr>
                <w:rFonts w:ascii="Arial" w:hAnsi="Arial"/>
                <w:b/>
                <w:color w:val="FFFFFF"/>
                <w:sz w:val="19"/>
              </w:rPr>
              <w:t>Descripción Resumida de Actividades</w:t>
            </w:r>
          </w:p>
        </w:tc>
        <w:tc>
          <w:tcPr>
            <w:tcW w:w="1728" w:type="dxa"/>
            <w:shd w:val="clear" w:color="auto" w:fill="003366"/>
            <w:tcMar>
              <w:top w:w="100" w:type="dxa"/>
              <w:left w:w="100" w:type="dxa"/>
              <w:bottom w:w="100" w:type="dxa"/>
              <w:right w:w="100" w:type="dxa"/>
            </w:tcMar>
          </w:tcPr>
          <w:p>
            <w:pPr>
              <w:jc w:val="center"/>
            </w:pPr>
            <w:r>
              <w:rPr>
                <w:rFonts w:ascii="Arial" w:hAnsi="Arial"/>
                <w:b/>
                <w:color w:val="FFFFFF"/>
                <w:sz w:val="19"/>
              </w:rPr>
              <w:t>Herramientas y Tecnologías</w:t>
            </w:r>
          </w:p>
        </w:tc>
        <w:tc>
          <w:tcPr>
            <w:tcW w:w="1253" w:type="dxa"/>
            <w:shd w:val="clear" w:color="auto" w:fill="003366"/>
            <w:tcMar>
              <w:top w:w="100" w:type="dxa"/>
              <w:left w:w="100" w:type="dxa"/>
              <w:bottom w:w="100" w:type="dxa"/>
              <w:right w:w="100" w:type="dxa"/>
            </w:tcMar>
          </w:tcPr>
          <w:p>
            <w:pPr>
              <w:jc w:val="center"/>
            </w:pPr>
            <w:r>
              <w:rPr>
                <w:rFonts w:ascii="Arial" w:hAnsi="Arial"/>
                <w:b/>
                <w:color w:val="FFFFFF"/>
                <w:sz w:val="19"/>
              </w:rPr>
              <w:t>Estado</w:t>
            </w:r>
          </w:p>
        </w:tc>
      </w:tr>
      <w:tr>
        <w:tblPrEx>
          <w:tblCellMar>
            <w:top w:w="0" w:type="dxa"/>
            <w:left w:w="108" w:type="dxa"/>
            <w:bottom w:w="0" w:type="dxa"/>
            <w:right w:w="108" w:type="dxa"/>
          </w:tblCellMar>
        </w:tblPrEx>
        <w:trPr>
          <w:jc w:val="center"/>
        </w:trPr>
        <w:tc>
          <w:tcPr>
            <w:tcW w:w="864" w:type="dxa"/>
            <w:shd w:val="clear" w:color="auto" w:fill="FFFFFF"/>
            <w:tcMar>
              <w:top w:w="90" w:type="dxa"/>
              <w:left w:w="90" w:type="dxa"/>
              <w:bottom w:w="90" w:type="dxa"/>
              <w:right w:w="90" w:type="dxa"/>
            </w:tcMar>
          </w:tcPr>
          <w:p>
            <w:pPr>
              <w:jc w:val="center"/>
            </w:pPr>
            <w:r>
              <w:rPr>
                <w:rFonts w:ascii="Arial" w:hAnsi="Arial"/>
                <w:b/>
                <w:color w:val="333333"/>
                <w:sz w:val="18"/>
              </w:rPr>
              <w:t>1.0</w:t>
            </w:r>
          </w:p>
        </w:tc>
        <w:tc>
          <w:tcPr>
            <w:tcW w:w="2592" w:type="dxa"/>
            <w:shd w:val="clear" w:color="auto" w:fill="FFFFFF"/>
            <w:tcMar>
              <w:top w:w="90" w:type="dxa"/>
              <w:left w:w="90" w:type="dxa"/>
              <w:bottom w:w="90" w:type="dxa"/>
              <w:right w:w="90" w:type="dxa"/>
            </w:tcMar>
          </w:tcPr>
          <w:p>
            <w:pPr>
              <w:jc w:val="left"/>
            </w:pPr>
            <w:r>
              <w:rPr>
                <w:rFonts w:ascii="Arial" w:hAnsi="Arial"/>
                <w:color w:val="333333"/>
                <w:sz w:val="18"/>
              </w:rPr>
              <w:t>Consolidación e Integración de Fuentes (Actividad A)</w:t>
            </w:r>
          </w:p>
        </w:tc>
        <w:tc>
          <w:tcPr>
            <w:tcW w:w="3312" w:type="dxa"/>
            <w:shd w:val="clear" w:color="auto" w:fill="FFFFFF"/>
            <w:tcMar>
              <w:top w:w="90" w:type="dxa"/>
              <w:left w:w="90" w:type="dxa"/>
              <w:bottom w:w="90" w:type="dxa"/>
              <w:right w:w="90" w:type="dxa"/>
            </w:tcMar>
          </w:tcPr>
          <w:p>
            <w:pPr>
              <w:jc w:val="left"/>
            </w:pPr>
            <w:r>
              <w:rPr>
                <w:rFonts w:ascii="Arial" w:hAnsi="Arial"/>
                <w:color w:val="333333"/>
                <w:sz w:val="18"/>
              </w:rPr>
              <w:t>Configuración de conexiones a Google Sheets, vistas operativas en Oracle Producción (SISUD) y base de datos repositorio del Data Warehouse.</w:t>
            </w:r>
          </w:p>
        </w:tc>
        <w:tc>
          <w:tcPr>
            <w:tcW w:w="1728" w:type="dxa"/>
            <w:shd w:val="clear" w:color="auto" w:fill="FFFFFF"/>
            <w:tcMar>
              <w:top w:w="90" w:type="dxa"/>
              <w:left w:w="90" w:type="dxa"/>
              <w:bottom w:w="90" w:type="dxa"/>
              <w:right w:w="90" w:type="dxa"/>
            </w:tcMar>
          </w:tcPr>
          <w:p>
            <w:pPr>
              <w:jc w:val="left"/>
            </w:pPr>
            <w:r>
              <w:rPr>
                <w:rFonts w:ascii="Arial" w:hAnsi="Arial"/>
                <w:color w:val="333333"/>
                <w:sz w:val="18"/>
              </w:rPr>
              <w:t>Google Sheets, Oracle DB, JDBC, Apache Hop</w:t>
            </w:r>
          </w:p>
        </w:tc>
        <w:tc>
          <w:tcPr>
            <w:tcW w:w="1253" w:type="dxa"/>
            <w:shd w:val="clear" w:color="auto" w:fill="FFFFFF"/>
            <w:tcMar>
              <w:top w:w="90" w:type="dxa"/>
              <w:left w:w="90" w:type="dxa"/>
              <w:bottom w:w="90" w:type="dxa"/>
              <w:right w:w="90" w:type="dxa"/>
            </w:tcMar>
          </w:tcPr>
          <w:p>
            <w:pPr>
              <w:jc w:val="center"/>
            </w:pPr>
            <w:r>
              <w:rPr>
                <w:rFonts w:ascii="Arial" w:hAnsi="Arial"/>
                <w:color w:val="333333"/>
                <w:sz w:val="18"/>
              </w:rPr>
              <w:t>100% Completado</w:t>
            </w:r>
          </w:p>
        </w:tc>
      </w:tr>
      <w:tr>
        <w:tblPrEx>
          <w:tblCellMar>
            <w:top w:w="0" w:type="dxa"/>
            <w:left w:w="108" w:type="dxa"/>
            <w:bottom w:w="0" w:type="dxa"/>
            <w:right w:w="108" w:type="dxa"/>
          </w:tblCellMar>
        </w:tblPrEx>
        <w:trPr>
          <w:jc w:val="center"/>
        </w:trPr>
        <w:tc>
          <w:tcPr>
            <w:tcW w:w="864" w:type="dxa"/>
            <w:shd w:val="clear" w:color="auto" w:fill="F4F6F9"/>
            <w:tcMar>
              <w:top w:w="90" w:type="dxa"/>
              <w:left w:w="90" w:type="dxa"/>
              <w:bottom w:w="90" w:type="dxa"/>
              <w:right w:w="90" w:type="dxa"/>
            </w:tcMar>
          </w:tcPr>
          <w:p>
            <w:pPr>
              <w:jc w:val="center"/>
            </w:pPr>
            <w:r>
              <w:rPr>
                <w:rFonts w:ascii="Arial" w:hAnsi="Arial"/>
                <w:b/>
                <w:color w:val="333333"/>
                <w:sz w:val="18"/>
              </w:rPr>
              <w:t>2.0</w:t>
            </w:r>
          </w:p>
        </w:tc>
        <w:tc>
          <w:tcPr>
            <w:tcW w:w="2592" w:type="dxa"/>
            <w:shd w:val="clear" w:color="auto" w:fill="F4F6F9"/>
            <w:tcMar>
              <w:top w:w="90" w:type="dxa"/>
              <w:left w:w="90" w:type="dxa"/>
              <w:bottom w:w="90" w:type="dxa"/>
              <w:right w:w="90" w:type="dxa"/>
            </w:tcMar>
          </w:tcPr>
          <w:p>
            <w:pPr>
              <w:jc w:val="left"/>
            </w:pPr>
            <w:r>
              <w:rPr>
                <w:rFonts w:ascii="Arial" w:hAnsi="Arial"/>
                <w:color w:val="333333"/>
                <w:sz w:val="18"/>
              </w:rPr>
              <w:t>Mapeo, Estructura y Reglas de Negocio (Actividad B)</w:t>
            </w:r>
          </w:p>
        </w:tc>
        <w:tc>
          <w:tcPr>
            <w:tcW w:w="3312" w:type="dxa"/>
            <w:shd w:val="clear" w:color="auto" w:fill="F4F6F9"/>
            <w:tcMar>
              <w:top w:w="90" w:type="dxa"/>
              <w:left w:w="90" w:type="dxa"/>
              <w:bottom w:w="90" w:type="dxa"/>
              <w:right w:w="90" w:type="dxa"/>
            </w:tcMar>
          </w:tcPr>
          <w:p>
            <w:pPr>
              <w:jc w:val="left"/>
            </w:pPr>
            <w:r>
              <w:rPr>
                <w:rFonts w:ascii="Arial" w:hAnsi="Arial"/>
                <w:color w:val="333333"/>
                <w:sz w:val="18"/>
              </w:rPr>
              <w:t>Análisis e ingeniería inversa de scripts en R (acciones_pin.R), aplicando reglas de filtrado, estandarización de siglas, subsectorización y georreferenciación.</w:t>
            </w:r>
          </w:p>
        </w:tc>
        <w:tc>
          <w:tcPr>
            <w:tcW w:w="1728" w:type="dxa"/>
            <w:shd w:val="clear" w:color="auto" w:fill="F4F6F9"/>
            <w:tcMar>
              <w:top w:w="90" w:type="dxa"/>
              <w:left w:w="90" w:type="dxa"/>
              <w:bottom w:w="90" w:type="dxa"/>
              <w:right w:w="90" w:type="dxa"/>
            </w:tcMar>
          </w:tcPr>
          <w:p>
            <w:pPr>
              <w:jc w:val="left"/>
            </w:pPr>
            <w:r>
              <w:rPr>
                <w:rFonts w:ascii="Arial" w:hAnsi="Arial"/>
                <w:color w:val="333333"/>
                <w:sz w:val="18"/>
              </w:rPr>
              <w:t>Scripts R (RData), SQL, VS Code, DBeaver</w:t>
            </w:r>
          </w:p>
        </w:tc>
        <w:tc>
          <w:tcPr>
            <w:tcW w:w="1253" w:type="dxa"/>
            <w:shd w:val="clear" w:color="auto" w:fill="F4F6F9"/>
            <w:tcMar>
              <w:top w:w="90" w:type="dxa"/>
              <w:left w:w="90" w:type="dxa"/>
              <w:bottom w:w="90" w:type="dxa"/>
              <w:right w:w="90" w:type="dxa"/>
            </w:tcMar>
          </w:tcPr>
          <w:p>
            <w:pPr>
              <w:jc w:val="center"/>
            </w:pPr>
            <w:r>
              <w:rPr>
                <w:rFonts w:ascii="Arial" w:hAnsi="Arial"/>
                <w:color w:val="333333"/>
                <w:sz w:val="18"/>
              </w:rPr>
              <w:t>100% Completado</w:t>
            </w:r>
          </w:p>
        </w:tc>
      </w:tr>
      <w:tr>
        <w:tblPrEx>
          <w:tblCellMar>
            <w:top w:w="0" w:type="dxa"/>
            <w:left w:w="108" w:type="dxa"/>
            <w:bottom w:w="0" w:type="dxa"/>
            <w:right w:w="108" w:type="dxa"/>
          </w:tblCellMar>
        </w:tblPrEx>
        <w:trPr>
          <w:jc w:val="center"/>
        </w:trPr>
        <w:tc>
          <w:tcPr>
            <w:tcW w:w="864" w:type="dxa"/>
            <w:shd w:val="clear" w:color="auto" w:fill="FFFFFF"/>
            <w:tcMar>
              <w:top w:w="90" w:type="dxa"/>
              <w:left w:w="90" w:type="dxa"/>
              <w:bottom w:w="90" w:type="dxa"/>
              <w:right w:w="90" w:type="dxa"/>
            </w:tcMar>
          </w:tcPr>
          <w:p>
            <w:pPr>
              <w:jc w:val="center"/>
            </w:pPr>
            <w:r>
              <w:rPr>
                <w:rFonts w:ascii="Arial" w:hAnsi="Arial"/>
                <w:b/>
                <w:color w:val="333333"/>
                <w:sz w:val="18"/>
              </w:rPr>
              <w:t>3.0</w:t>
            </w:r>
          </w:p>
        </w:tc>
        <w:tc>
          <w:tcPr>
            <w:tcW w:w="2592" w:type="dxa"/>
            <w:shd w:val="clear" w:color="auto" w:fill="FFFFFF"/>
            <w:tcMar>
              <w:top w:w="90" w:type="dxa"/>
              <w:left w:w="90" w:type="dxa"/>
              <w:bottom w:w="90" w:type="dxa"/>
              <w:right w:w="90" w:type="dxa"/>
            </w:tcMar>
          </w:tcPr>
          <w:p>
            <w:pPr>
              <w:jc w:val="left"/>
            </w:pPr>
            <w:r>
              <w:rPr>
                <w:rFonts w:ascii="Arial" w:hAnsi="Arial"/>
                <w:color w:val="333333"/>
                <w:sz w:val="18"/>
              </w:rPr>
              <w:t>Calidad de Datos y Arquitectura Propuesta (Actividad C)</w:t>
            </w:r>
          </w:p>
        </w:tc>
        <w:tc>
          <w:tcPr>
            <w:tcW w:w="3312" w:type="dxa"/>
            <w:shd w:val="clear" w:color="auto" w:fill="FFFFFF"/>
            <w:tcMar>
              <w:top w:w="90" w:type="dxa"/>
              <w:left w:w="90" w:type="dxa"/>
              <w:bottom w:w="90" w:type="dxa"/>
              <w:right w:w="90" w:type="dxa"/>
            </w:tcMar>
          </w:tcPr>
          <w:p>
            <w:pPr>
              <w:jc w:val="left"/>
            </w:pPr>
            <w:r>
              <w:rPr>
                <w:rFonts w:ascii="Arial" w:hAnsi="Arial"/>
                <w:color w:val="333333"/>
                <w:sz w:val="18"/>
              </w:rPr>
              <w:t>Diagnóstico de duplicados y nulos, e implementación del framework estandarizado ETL (Archetype) con capa de Staging intermedia (H2 Database).</w:t>
            </w:r>
          </w:p>
        </w:tc>
        <w:tc>
          <w:tcPr>
            <w:tcW w:w="1728" w:type="dxa"/>
            <w:shd w:val="clear" w:color="auto" w:fill="FFFFFF"/>
            <w:tcMar>
              <w:top w:w="90" w:type="dxa"/>
              <w:left w:w="90" w:type="dxa"/>
              <w:bottom w:w="90" w:type="dxa"/>
              <w:right w:w="90" w:type="dxa"/>
            </w:tcMar>
          </w:tcPr>
          <w:p>
            <w:pPr>
              <w:jc w:val="left"/>
            </w:pPr>
            <w:r>
              <w:rPr>
                <w:rFonts w:ascii="Arial" w:hAnsi="Arial"/>
                <w:color w:val="333333"/>
                <w:sz w:val="18"/>
              </w:rPr>
              <w:t>Apache Hop, H2 Database, Java 21</w:t>
            </w:r>
          </w:p>
        </w:tc>
        <w:tc>
          <w:tcPr>
            <w:tcW w:w="1253" w:type="dxa"/>
            <w:shd w:val="clear" w:color="auto" w:fill="FFFFFF"/>
            <w:tcMar>
              <w:top w:w="90" w:type="dxa"/>
              <w:left w:w="90" w:type="dxa"/>
              <w:bottom w:w="90" w:type="dxa"/>
              <w:right w:w="90" w:type="dxa"/>
            </w:tcMar>
          </w:tcPr>
          <w:p>
            <w:pPr>
              <w:jc w:val="center"/>
            </w:pPr>
            <w:r>
              <w:rPr>
                <w:rFonts w:ascii="Arial" w:hAnsi="Arial"/>
                <w:color w:val="333333"/>
                <w:sz w:val="18"/>
              </w:rPr>
              <w:t>100% Completado</w:t>
            </w:r>
          </w:p>
        </w:tc>
      </w:tr>
    </w:tbl>
    <w:p>
      <w:pPr>
        <w:spacing w:after="240"/>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spacing w:before="0" w:after="120" w:line="276" w:lineRule="auto"/>
        <w:rPr>
          <w:rFonts w:hint="default" w:ascii="Trebuchet MS" w:hAnsi="Trebuchet MS" w:cs="Trebuchet MS"/>
          <w:i w:val="0"/>
          <w:color w:val="333333"/>
          <w:sz w:val="24"/>
          <w:szCs w:val="24"/>
        </w:rPr>
      </w:pPr>
    </w:p>
    <w:p>
      <w:pPr>
        <w:keepNext/>
        <w:spacing w:before="320" w:after="120"/>
        <w:rPr>
          <w:rFonts w:hint="default" w:ascii="Trebuchet MS" w:hAnsi="Trebuchet MS" w:cs="Trebuchet MS"/>
          <w:color w:val="auto"/>
          <w:sz w:val="24"/>
          <w:szCs w:val="24"/>
        </w:rPr>
      </w:pPr>
      <w:r>
        <w:rPr>
          <w:rFonts w:hint="default" w:ascii="Trebuchet MS" w:hAnsi="Trebuchet MS" w:cs="Trebuchet MS"/>
          <w:b/>
          <w:color w:val="auto"/>
          <w:sz w:val="24"/>
          <w:szCs w:val="24"/>
          <w:lang/>
        </w:rPr>
        <w:t>3</w:t>
      </w:r>
      <w:r>
        <w:rPr>
          <w:rFonts w:hint="default" w:ascii="Trebuchet MS" w:hAnsi="Trebuchet MS" w:cs="Trebuchet MS"/>
          <w:b/>
          <w:color w:val="auto"/>
          <w:sz w:val="24"/>
          <w:szCs w:val="24"/>
        </w:rPr>
        <w:t>. DESARROLLO DE ACTIVIDADES REGISTRADAS</w:t>
      </w:r>
    </w:p>
    <w:p>
      <w:pPr>
        <w:keepNext/>
        <w:spacing w:before="240" w:after="80"/>
        <w:rPr>
          <w:rFonts w:hint="default" w:ascii="Trebuchet MS" w:hAnsi="Trebuchet MS" w:cs="Trebuchet MS"/>
          <w:b/>
          <w:color w:val="4682B4"/>
          <w:sz w:val="24"/>
          <w:szCs w:val="24"/>
        </w:rPr>
      </w:pPr>
      <w:r>
        <w:rPr>
          <w:rFonts w:hint="default" w:ascii="Trebuchet MS" w:hAnsi="Trebuchet MS" w:cs="Trebuchet MS"/>
          <w:b/>
          <w:color w:val="4682B4"/>
          <w:sz w:val="24"/>
          <w:szCs w:val="24"/>
        </w:rPr>
        <w:t>Actividad A: Consolidar la información relacionada con las estrategias de promoción del cumplimiento</w:t>
      </w:r>
      <w:r>
        <w:rPr>
          <w:rFonts w:hint="default" w:ascii="Trebuchet MS" w:hAnsi="Trebuchet MS" w:cs="Trebuchet MS"/>
          <w:b/>
          <w:color w:val="4682B4"/>
          <w:sz w:val="24"/>
          <w:szCs w:val="24"/>
          <w:lang/>
        </w:rPr>
        <w:t xml:space="preserve"> </w:t>
      </w:r>
      <w:r>
        <w:rPr>
          <w:rFonts w:hint="default" w:ascii="Trebuchet MS" w:hAnsi="Trebuchet MS" w:cs="Trebuchet MS"/>
          <w:b/>
          <w:color w:val="4682B4"/>
          <w:sz w:val="24"/>
          <w:szCs w:val="24"/>
        </w:rPr>
        <w:t>contenidas en los informes de supervisión y multas coercitivas, integrando las bases de</w:t>
      </w:r>
      <w:r>
        <w:rPr>
          <w:rFonts w:hint="default" w:ascii="Trebuchet MS" w:hAnsi="Trebuchet MS" w:cs="Trebuchet MS"/>
          <w:b/>
          <w:color w:val="4682B4"/>
          <w:sz w:val="24"/>
          <w:szCs w:val="24"/>
          <w:lang/>
        </w:rPr>
        <w:t xml:space="preserve"> </w:t>
      </w:r>
      <w:r>
        <w:rPr>
          <w:rFonts w:hint="default" w:ascii="Trebuchet MS" w:hAnsi="Trebuchet MS" w:cs="Trebuchet MS"/>
          <w:b/>
          <w:color w:val="4682B4"/>
          <w:sz w:val="24"/>
          <w:szCs w:val="24"/>
        </w:rPr>
        <w:t>datos, registros, reportes, formularios u otras fuentes proporcionadas.</w:t>
      </w:r>
    </w:p>
    <w:p>
      <w:pPr>
        <w:spacing w:before="0" w:after="120" w:line="276" w:lineRule="auto"/>
        <w:rPr>
          <w:rFonts w:hint="default" w:ascii="Trebuchet MS" w:hAnsi="Trebuchet MS" w:cs="Trebuchet MS"/>
          <w:sz w:val="24"/>
          <w:szCs w:val="24"/>
        </w:rPr>
      </w:pPr>
      <w:r>
        <w:rPr>
          <w:rFonts w:hint="default" w:ascii="Trebuchet MS" w:hAnsi="Trebuchet MS" w:cs="Trebuchet MS"/>
          <w:i w:val="0"/>
          <w:color w:val="333333"/>
          <w:sz w:val="24"/>
          <w:szCs w:val="24"/>
        </w:rPr>
        <w:t>Se configuraron y validaron las conexiones hacia las fuentes origen primarias y los repositorios destino definidos para la solución:</w:t>
      </w:r>
    </w:p>
    <w:p>
      <w:pPr>
        <w:pStyle w:val="23"/>
        <w:numPr>
          <w:ilvl w:val="0"/>
          <w:numId w:val="8"/>
        </w:numPr>
        <w:tabs>
          <w:tab w:val="clear" w:pos="420"/>
          <w:tab w:val="clear" w:pos="360"/>
        </w:tabs>
        <w:spacing w:before="0" w:after="60" w:line="276" w:lineRule="auto"/>
        <w:ind w:left="360" w:leftChars="0" w:hanging="36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Google Sheets (OEFA-CSEP): </w:t>
      </w:r>
      <w:r>
        <w:rPr>
          <w:rFonts w:hint="default" w:ascii="Trebuchet MS" w:hAnsi="Trebuchet MS" w:cs="Trebuchet MS"/>
          <w:color w:val="333333"/>
          <w:sz w:val="24"/>
          <w:szCs w:val="24"/>
        </w:rPr>
        <w:t>Hoja de cálculo en la nube 'CMIN: MA OEFA - 2) SEGUIMIENTO DE MEDIDAS ADMINISTRATIVAS'.</w:t>
      </w:r>
    </w:p>
    <w:p>
      <w:pPr>
        <w:pStyle w:val="23"/>
        <w:numPr>
          <w:ilvl w:val="0"/>
          <w:numId w:val="8"/>
        </w:numPr>
        <w:tabs>
          <w:tab w:val="clear" w:pos="420"/>
          <w:tab w:val="clear" w:pos="360"/>
        </w:tabs>
        <w:spacing w:before="0" w:after="60" w:line="276" w:lineRule="auto"/>
        <w:ind w:left="360" w:leftChars="0" w:hanging="36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Oracle (Entorno de Producción - SISUD): </w:t>
      </w:r>
      <w:r>
        <w:rPr>
          <w:rFonts w:hint="default" w:ascii="Trebuchet MS" w:hAnsi="Trebuchet MS" w:cs="Trebuchet MS"/>
          <w:color w:val="333333"/>
          <w:sz w:val="24"/>
          <w:szCs w:val="24"/>
        </w:rPr>
        <w:t>Conexión al Host odaprod-scan, Base de Datos oefabd (Puerto 1534, Usuario CSEPDV), desde donde se accedió a las vistas operativas de origen: SISUD.VW_MULTA_COERCITIVA, SISUD.CSEP_ACCIONES_VIEW, SISUD.CSEP_DOCUMENTOS_VIEW y SISUD.CSEP_ADMINUF_VIEW.</w:t>
      </w:r>
    </w:p>
    <w:p>
      <w:pPr>
        <w:pStyle w:val="23"/>
        <w:numPr>
          <w:ilvl w:val="0"/>
          <w:numId w:val="8"/>
        </w:numPr>
        <w:tabs>
          <w:tab w:val="clear" w:pos="420"/>
          <w:tab w:val="clear" w:pos="360"/>
        </w:tabs>
        <w:spacing w:before="0" w:after="60" w:line="276" w:lineRule="auto"/>
        <w:ind w:left="360" w:leftChars="0" w:hanging="36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Oracle (Entorno Repositorio / Data Warehouse): </w:t>
      </w:r>
      <w:r>
        <w:rPr>
          <w:rFonts w:hint="default" w:ascii="Trebuchet MS" w:hAnsi="Trebuchet MS" w:cs="Trebuchet MS"/>
          <w:color w:val="333333"/>
          <w:sz w:val="24"/>
          <w:szCs w:val="24"/>
        </w:rPr>
        <w:t>Conexión al Host 10.6.0.15, Base de Datos dvoefacore (Puerto 1532, Usuario REPOCSEP), destinado al almacenamiento de las tablas del modelo analítico del Data Warehouse.</w:t>
      </w:r>
    </w:p>
    <w:p>
      <w:pPr>
        <w:pStyle w:val="23"/>
        <w:numPr>
          <w:ilvl w:val="0"/>
          <w:numId w:val="8"/>
        </w:numPr>
        <w:tabs>
          <w:tab w:val="clear" w:pos="420"/>
          <w:tab w:val="clear" w:pos="360"/>
        </w:tabs>
        <w:spacing w:before="0" w:after="60" w:line="276" w:lineRule="auto"/>
        <w:ind w:left="360" w:leftChars="0" w:hanging="360" w:firstLineChars="0"/>
        <w:rPr>
          <w:rFonts w:hint="default" w:ascii="Trebuchet MS" w:hAnsi="Trebuchet MS" w:cs="Trebuchet MS"/>
          <w:sz w:val="24"/>
          <w:szCs w:val="24"/>
        </w:rPr>
      </w:pPr>
      <w:r>
        <w:rPr>
          <w:rFonts w:hint="default" w:ascii="Trebuchet MS" w:hAnsi="Trebuchet MS" w:cs="Trebuchet MS"/>
          <w:b/>
          <w:color w:val="333333"/>
          <w:sz w:val="24"/>
          <w:szCs w:val="24"/>
          <w:lang/>
        </w:rPr>
        <w:t xml:space="preserve">Mysql </w:t>
      </w:r>
      <w:r>
        <w:rPr>
          <w:rFonts w:hint="default" w:ascii="Trebuchet MS" w:hAnsi="Trebuchet MS" w:cs="Trebuchet MS"/>
          <w:b/>
          <w:color w:val="333333"/>
          <w:sz w:val="24"/>
          <w:szCs w:val="24"/>
        </w:rPr>
        <w:t xml:space="preserve">(Entorno Repositorio / </w:t>
      </w:r>
      <w:r>
        <w:rPr>
          <w:rFonts w:hint="default" w:ascii="Trebuchet MS" w:hAnsi="Trebuchet MS" w:cs="Trebuchet MS"/>
          <w:b/>
          <w:color w:val="333333"/>
          <w:sz w:val="24"/>
          <w:szCs w:val="24"/>
          <w:lang/>
        </w:rPr>
        <w:t>Google Forms</w:t>
      </w:r>
      <w:r>
        <w:rPr>
          <w:rFonts w:hint="default" w:ascii="Trebuchet MS" w:hAnsi="Trebuchet MS" w:cs="Trebuchet MS"/>
          <w:b/>
          <w:color w:val="333333"/>
          <w:sz w:val="24"/>
          <w:szCs w:val="24"/>
        </w:rPr>
        <w:t xml:space="preserve">): </w:t>
      </w:r>
      <w:r>
        <w:rPr>
          <w:rFonts w:hint="default" w:ascii="Trebuchet MS" w:hAnsi="Trebuchet MS" w:cs="Trebuchet MS"/>
          <w:color w:val="333333"/>
          <w:sz w:val="24"/>
          <w:szCs w:val="24"/>
        </w:rPr>
        <w:t xml:space="preserve">Conexión al Host </w:t>
      </w:r>
      <w:r>
        <w:rPr>
          <w:rFonts w:hint="default" w:ascii="Trebuchet MS" w:hAnsi="Trebuchet MS" w:cs="Trebuchet MS"/>
          <w:color w:val="333333"/>
          <w:sz w:val="24"/>
          <w:szCs w:val="24"/>
          <w:lang/>
        </w:rPr>
        <w:t>10.1.1.217</w:t>
      </w:r>
      <w:r>
        <w:rPr>
          <w:rFonts w:hint="default" w:ascii="Trebuchet MS" w:hAnsi="Trebuchet MS" w:cs="Trebuchet MS"/>
          <w:color w:val="333333"/>
          <w:sz w:val="24"/>
          <w:szCs w:val="24"/>
        </w:rPr>
        <w:t xml:space="preserve">, Base de Datos </w:t>
      </w:r>
      <w:r>
        <w:rPr>
          <w:rFonts w:hint="default" w:ascii="Trebuchet MS" w:hAnsi="Trebuchet MS" w:cs="Trebuchet MS"/>
          <w:color w:val="333333"/>
          <w:sz w:val="24"/>
          <w:szCs w:val="24"/>
          <w:lang/>
        </w:rPr>
        <w:t>gappsdb</w:t>
      </w:r>
      <w:r>
        <w:rPr>
          <w:rFonts w:hint="default" w:ascii="Trebuchet MS" w:hAnsi="Trebuchet MS" w:cs="Trebuchet MS"/>
          <w:color w:val="333333"/>
          <w:sz w:val="24"/>
          <w:szCs w:val="24"/>
        </w:rPr>
        <w:t xml:space="preserve"> (Puerto </w:t>
      </w:r>
      <w:r>
        <w:rPr>
          <w:rFonts w:hint="default" w:ascii="Trebuchet MS" w:hAnsi="Trebuchet MS" w:cs="Trebuchet MS"/>
          <w:color w:val="333333"/>
          <w:sz w:val="24"/>
          <w:szCs w:val="24"/>
          <w:lang/>
        </w:rPr>
        <w:t>3306</w:t>
      </w:r>
      <w:r>
        <w:rPr>
          <w:rFonts w:hint="default" w:ascii="Trebuchet MS" w:hAnsi="Trebuchet MS" w:cs="Trebuchet MS"/>
          <w:color w:val="333333"/>
          <w:sz w:val="24"/>
          <w:szCs w:val="24"/>
        </w:rPr>
        <w:t>, Usuario REPOCSEP), destinado al almacenamiento de las tablas del modelo analítico del Data Warehouse.</w:t>
      </w:r>
    </w:p>
    <w:p>
      <w:pPr>
        <w:pStyle w:val="23"/>
        <w:numPr>
          <w:numId w:val="0"/>
        </w:numPr>
        <w:tabs>
          <w:tab w:val="clear" w:pos="360"/>
        </w:tabs>
        <w:spacing w:before="0" w:after="60" w:line="276" w:lineRule="auto"/>
        <w:ind w:leftChars="0"/>
        <w:rPr>
          <w:rFonts w:hint="default" w:ascii="Trebuchet MS" w:hAnsi="Trebuchet MS" w:cs="Trebuchet MS"/>
          <w:sz w:val="24"/>
          <w:szCs w:val="24"/>
        </w:rPr>
      </w:pPr>
    </w:p>
    <w:p>
      <w:pPr>
        <w:spacing w:before="0" w:after="120" w:line="276" w:lineRule="auto"/>
        <w:rPr>
          <w:rFonts w:hint="default" w:ascii="Trebuchet MS" w:hAnsi="Trebuchet MS" w:cs="Trebuchet MS"/>
          <w:sz w:val="24"/>
          <w:szCs w:val="24"/>
        </w:rPr>
      </w:pPr>
      <w:r>
        <w:rPr>
          <w:rFonts w:hint="default" w:ascii="Trebuchet MS" w:hAnsi="Trebuchet MS" w:cs="Trebuchet MS"/>
          <w:i w:val="0"/>
          <w:color w:val="333333"/>
          <w:sz w:val="24"/>
          <w:szCs w:val="24"/>
        </w:rPr>
        <w:t>Herramientas, Entorno de Desarrollo y Conectores:</w:t>
      </w:r>
    </w:p>
    <w:p>
      <w:pPr>
        <w:pStyle w:val="23"/>
        <w:numPr>
          <w:ilvl w:val="0"/>
          <w:numId w:val="8"/>
        </w:numPr>
        <w:tabs>
          <w:tab w:val="clear" w:pos="420"/>
          <w:tab w:val="clear" w:pos="36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Apache Hop (Motor ETL): </w:t>
      </w:r>
      <w:r>
        <w:rPr>
          <w:rFonts w:hint="default" w:ascii="Trebuchet MS" w:hAnsi="Trebuchet MS" w:cs="Trebuchet MS"/>
          <w:color w:val="333333"/>
          <w:sz w:val="24"/>
          <w:szCs w:val="24"/>
        </w:rPr>
        <w:t>Configuración de Service Accounts (Google Cloud) para la lectura de Google Sheets, controladores JDBC Java (Oracle y MySQL) y ejecutor Java 21.</w:t>
      </w:r>
    </w:p>
    <w:p>
      <w:pPr>
        <w:pStyle w:val="23"/>
        <w:numPr>
          <w:ilvl w:val="0"/>
          <w:numId w:val="8"/>
        </w:numPr>
        <w:tabs>
          <w:tab w:val="clear" w:pos="420"/>
          <w:tab w:val="clear" w:pos="36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Herramientas Complementarias: </w:t>
      </w:r>
      <w:r>
        <w:rPr>
          <w:rFonts w:hint="default" w:ascii="Trebuchet MS" w:hAnsi="Trebuchet MS" w:cs="Trebuchet MS"/>
          <w:color w:val="333333"/>
          <w:sz w:val="24"/>
          <w:szCs w:val="24"/>
        </w:rPr>
        <w:t>Visual Studio Code (VsCode), DBeaver para exploración SQL en base de datos, e interpretes de Lenguaje R para la auditoría y depuración de la lógica heredada.</w:t>
      </w:r>
    </w:p>
    <w:p>
      <w:pPr>
        <w:keepNext/>
        <w:spacing w:before="240" w:after="80"/>
        <w:rPr>
          <w:rFonts w:hint="default" w:ascii="Trebuchet MS" w:hAnsi="Trebuchet MS" w:cs="Trebuchet MS"/>
          <w:b/>
          <w:color w:val="4682B4"/>
          <w:sz w:val="24"/>
          <w:szCs w:val="24"/>
          <w:lang/>
        </w:rPr>
      </w:pPr>
      <w:r>
        <w:rPr>
          <w:rFonts w:hint="default" w:ascii="Trebuchet MS" w:hAnsi="Trebuchet MS" w:cs="Trebuchet MS"/>
          <w:b/>
          <w:color w:val="4682B4"/>
          <w:sz w:val="24"/>
          <w:szCs w:val="24"/>
        </w:rPr>
        <w:t>Actividad B: Revisar la estructura y contenido de las bases de datos disponibles, verificando l</w:t>
      </w:r>
      <w:r>
        <w:rPr>
          <w:rFonts w:hint="default" w:ascii="Trebuchet MS" w:hAnsi="Trebuchet MS" w:cs="Trebuchet MS"/>
          <w:b/>
          <w:color w:val="4682B4"/>
          <w:sz w:val="24"/>
          <w:szCs w:val="24"/>
          <w:lang/>
        </w:rPr>
        <w:t xml:space="preserve">a </w:t>
      </w:r>
      <w:r>
        <w:rPr>
          <w:rFonts w:hint="default" w:ascii="Trebuchet MS" w:hAnsi="Trebuchet MS" w:cs="Trebuchet MS"/>
          <w:b/>
          <w:color w:val="4682B4"/>
          <w:sz w:val="24"/>
          <w:szCs w:val="24"/>
        </w:rPr>
        <w:t>correspondencia entre campos, variables, criterios de</w:t>
      </w:r>
      <w:r>
        <w:rPr>
          <w:rFonts w:hint="default" w:ascii="Trebuchet MS" w:hAnsi="Trebuchet MS" w:cs="Trebuchet MS"/>
          <w:b/>
          <w:color w:val="4682B4"/>
          <w:sz w:val="24"/>
          <w:szCs w:val="24"/>
          <w:lang/>
        </w:rPr>
        <w:t xml:space="preserve"> </w:t>
      </w:r>
      <w:r>
        <w:rPr>
          <w:rFonts w:hint="default" w:ascii="Trebuchet MS" w:hAnsi="Trebuchet MS" w:cs="Trebuchet MS"/>
          <w:b/>
          <w:color w:val="4682B4"/>
          <w:sz w:val="24"/>
          <w:szCs w:val="24"/>
        </w:rPr>
        <w:t>clasificación, periodos de análisis e</w:t>
      </w:r>
      <w:r>
        <w:rPr>
          <w:rFonts w:hint="default" w:ascii="Trebuchet MS" w:hAnsi="Trebuchet MS" w:cs="Trebuchet MS"/>
          <w:b/>
          <w:color w:val="4682B4"/>
          <w:sz w:val="24"/>
          <w:szCs w:val="24"/>
          <w:lang/>
        </w:rPr>
        <w:t xml:space="preserve"> indicadores vinculados a las estrategias de  promoción del cumplimiento contenidas en los  informes de supervisión y multas coercitivas.</w:t>
      </w:r>
    </w:p>
    <w:p>
      <w:pPr>
        <w:spacing w:before="0" w:after="120" w:line="276" w:lineRule="auto"/>
        <w:rPr>
          <w:rFonts w:hint="default" w:ascii="Trebuchet MS" w:hAnsi="Trebuchet MS" w:cs="Trebuchet MS"/>
          <w:sz w:val="24"/>
          <w:szCs w:val="24"/>
        </w:rPr>
      </w:pPr>
      <w:r>
        <w:rPr>
          <w:rFonts w:hint="default" w:ascii="Trebuchet MS" w:hAnsi="Trebuchet MS" w:cs="Trebuchet MS"/>
          <w:i w:val="0"/>
          <w:color w:val="333333"/>
          <w:sz w:val="24"/>
          <w:szCs w:val="24"/>
        </w:rPr>
        <w:t>A través de la ingeniería inversa realizada a los scripts de R (acciones_pin.R), se identificaron las reglas de transformación y los criterios clave requeridos para estructurar la data:</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Fechas de Corte: </w:t>
      </w:r>
      <w:r>
        <w:rPr>
          <w:rFonts w:hint="default" w:ascii="Trebuchet MS" w:hAnsi="Trebuchet MS" w:cs="Trebuchet MS"/>
          <w:color w:val="333333"/>
          <w:sz w:val="24"/>
          <w:szCs w:val="24"/>
        </w:rPr>
        <w:t>Exclusión de documentos previos al año 2016 (FEFIN &gt;= 2016-01-01) y filtrado de acciones desde el año 2017.</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Normalización de Coordinaciones: </w:t>
      </w:r>
      <w:r>
        <w:rPr>
          <w:rFonts w:hint="default" w:ascii="Trebuchet MS" w:hAnsi="Trebuchet MS" w:cs="Trebuchet MS"/>
          <w:color w:val="333333"/>
          <w:sz w:val="24"/>
          <w:szCs w:val="24"/>
        </w:rPr>
        <w:t>Homologación de textos eliminando prefijos ('COORDINACIÓN DE...', 'OFICINA DESCONCENTRADA DE', etc.) para estandarizar siglas institucionales (OD, OE, OI).</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Subsectorización y Direcciones: </w:t>
      </w:r>
      <w:r>
        <w:rPr>
          <w:rFonts w:hint="default" w:ascii="Trebuchet MS" w:hAnsi="Trebuchet MS" w:cs="Trebuchet MS"/>
          <w:color w:val="333333"/>
          <w:sz w:val="24"/>
          <w:szCs w:val="24"/>
        </w:rPr>
        <w:t>Reglas condicionales (case_when) para mapear coordinaciones a subsectores analíticos (MIN, HID, ELE, IND, PES, AGR, CAM, RES) y asignación automática a Direcciones (DSEM, DSAP, DSIS, CODE).</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Estandarización de Fuentes de Origen: </w:t>
      </w:r>
      <w:r>
        <w:rPr>
          <w:rFonts w:hint="default" w:ascii="Trebuchet MS" w:hAnsi="Trebuchet MS" w:cs="Trebuchet MS"/>
          <w:color w:val="333333"/>
          <w:sz w:val="24"/>
          <w:szCs w:val="24"/>
        </w:rPr>
        <w:t>Limpieza de cadenas de texto para uniformizar categorías como EMERGENCIA AMBIENTAL, DENUNCIA AMBIENTAL, PLANEFA, entre otras.</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Enriquecimiento Espacial (Georreferenciación): </w:t>
      </w:r>
      <w:r>
        <w:rPr>
          <w:rFonts w:hint="default" w:ascii="Trebuchet MS" w:hAnsi="Trebuchet MS" w:cs="Trebuchet MS"/>
          <w:color w:val="333333"/>
          <w:sz w:val="24"/>
          <w:szCs w:val="24"/>
        </w:rPr>
        <w:t>Cruce de acciones IN SITU y EN GABINETE con la vista SISUD.CSEP_ADMINUF_VIEW mediante llaves relacionales (IDUF_SIG, TXUBIGEO_INEI, TXUBIGEO_INAF) para unificar la ubicación por Departamento, Provincia y Distrito.</w:t>
      </w:r>
    </w:p>
    <w:p>
      <w:pPr>
        <w:keepNext/>
        <w:spacing w:before="240" w:after="80"/>
        <w:rPr>
          <w:rFonts w:hint="default" w:ascii="Trebuchet MS" w:hAnsi="Trebuchet MS" w:cs="Trebuchet MS"/>
          <w:b/>
          <w:color w:val="4682B4"/>
          <w:sz w:val="24"/>
          <w:szCs w:val="24"/>
        </w:rPr>
      </w:pPr>
      <w:r>
        <w:rPr>
          <w:rFonts w:hint="default" w:ascii="Trebuchet MS" w:hAnsi="Trebuchet MS" w:cs="Trebuchet MS"/>
          <w:b/>
          <w:color w:val="4682B4"/>
          <w:sz w:val="24"/>
          <w:szCs w:val="24"/>
        </w:rPr>
        <w:t>Actividad C: Validar la completitud, consistencia y coherencia de la información recopilada,</w:t>
      </w:r>
      <w:r>
        <w:rPr>
          <w:rFonts w:hint="default" w:ascii="Trebuchet MS" w:hAnsi="Trebuchet MS" w:cs="Trebuchet MS"/>
          <w:b/>
          <w:color w:val="4682B4"/>
          <w:sz w:val="24"/>
          <w:szCs w:val="24"/>
          <w:lang/>
        </w:rPr>
        <w:t xml:space="preserve"> </w:t>
      </w:r>
      <w:r>
        <w:rPr>
          <w:rFonts w:hint="default" w:ascii="Trebuchet MS" w:hAnsi="Trebuchet MS" w:cs="Trebuchet MS"/>
          <w:b/>
          <w:color w:val="4682B4"/>
          <w:sz w:val="24"/>
          <w:szCs w:val="24"/>
        </w:rPr>
        <w:t>identificando registros incompletos, duplicados, inconsistentes, valores fuera de rango,</w:t>
      </w:r>
      <w:r>
        <w:rPr>
          <w:rFonts w:hint="default" w:ascii="Trebuchet MS" w:hAnsi="Trebuchet MS" w:cs="Trebuchet MS"/>
          <w:b/>
          <w:color w:val="4682B4"/>
          <w:sz w:val="24"/>
          <w:szCs w:val="24"/>
          <w:lang/>
        </w:rPr>
        <w:t xml:space="preserve"> </w:t>
      </w:r>
      <w:r>
        <w:rPr>
          <w:rFonts w:hint="default" w:ascii="Trebuchet MS" w:hAnsi="Trebuchet MS" w:cs="Trebuchet MS"/>
          <w:b/>
          <w:color w:val="4682B4"/>
          <w:sz w:val="24"/>
          <w:szCs w:val="24"/>
        </w:rPr>
        <w:t>errores de codificación u otros hallazgos que puedan afectar la calidad del</w:t>
      </w:r>
      <w:r>
        <w:rPr>
          <w:rFonts w:hint="default" w:ascii="Trebuchet MS" w:hAnsi="Trebuchet MS" w:cs="Trebuchet MS"/>
          <w:b/>
          <w:color w:val="4682B4"/>
          <w:sz w:val="24"/>
          <w:szCs w:val="24"/>
          <w:lang/>
        </w:rPr>
        <w:t xml:space="preserve"> </w:t>
      </w:r>
      <w:r>
        <w:rPr>
          <w:rFonts w:hint="default" w:ascii="Trebuchet MS" w:hAnsi="Trebuchet MS" w:cs="Trebuchet MS"/>
          <w:b/>
          <w:color w:val="4682B4"/>
          <w:sz w:val="24"/>
          <w:szCs w:val="24"/>
        </w:rPr>
        <w:t>análisis</w:t>
      </w:r>
    </w:p>
    <w:p>
      <w:pPr>
        <w:spacing w:before="0" w:after="120" w:line="276" w:lineRule="auto"/>
        <w:rPr>
          <w:rFonts w:hint="default" w:ascii="Trebuchet MS" w:hAnsi="Trebuchet MS" w:cs="Trebuchet MS"/>
          <w:sz w:val="24"/>
          <w:szCs w:val="24"/>
        </w:rPr>
      </w:pPr>
      <w:r>
        <w:rPr>
          <w:rFonts w:hint="default" w:ascii="Trebuchet MS" w:hAnsi="Trebuchet MS" w:cs="Trebuchet MS"/>
          <w:i w:val="0"/>
          <w:color w:val="333333"/>
          <w:sz w:val="24"/>
          <w:szCs w:val="24"/>
        </w:rPr>
        <w:t>Durante la auditoría del pipeline de R existente y el diseño de la demo en Apache Hop, se identificaron los siguientes aspectos críticos de calidad y arquitectura:</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Redundancia y Duplicidad: </w:t>
      </w:r>
      <w:r>
        <w:rPr>
          <w:rFonts w:hint="default" w:ascii="Trebuchet MS" w:hAnsi="Trebuchet MS" w:cs="Trebuchet MS"/>
          <w:color w:val="333333"/>
          <w:sz w:val="24"/>
          <w:szCs w:val="24"/>
        </w:rPr>
        <w:t>Necesidad explícita de aplicar desduplicación (distinct) por claves combinadas (TXCUC, TXTIPO_DOC, TXUBIGEO_INEI).</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Inconsistencias de Codificación y Nulos: </w:t>
      </w:r>
      <w:r>
        <w:rPr>
          <w:rFonts w:hint="default" w:ascii="Trebuchet MS" w:hAnsi="Trebuchet MS" w:cs="Trebuchet MS"/>
          <w:color w:val="333333"/>
          <w:sz w:val="24"/>
          <w:szCs w:val="24"/>
        </w:rPr>
        <w:t>Registros con administrados o unidades fiscales no determinadas (^NO DETERMINA), los cuales requieren imputación de valores nulos (NA) para evitar sesgos analíticos.</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Falta de Estandarización Técnica: </w:t>
      </w:r>
      <w:r>
        <w:rPr>
          <w:rFonts w:hint="default" w:ascii="Trebuchet MS" w:hAnsi="Trebuchet MS" w:cs="Trebuchet MS"/>
          <w:color w:val="333333"/>
          <w:sz w:val="24"/>
          <w:szCs w:val="24"/>
        </w:rPr>
        <w:t>Ausencia de diagramas de arquitectura, documentación formal y dispersión de scripts aislados.</w:t>
      </w:r>
    </w:p>
    <w:p>
      <w:pPr>
        <w:pStyle w:val="23"/>
        <w:numPr>
          <w:numId w:val="0"/>
        </w:numPr>
        <w:spacing w:before="0" w:after="60" w:line="276" w:lineRule="auto"/>
        <w:contextualSpacing/>
        <w:rPr>
          <w:rFonts w:hint="default" w:ascii="Trebuchet MS" w:hAnsi="Trebuchet MS" w:cs="Trebuchet MS"/>
          <w:color w:val="333333"/>
          <w:sz w:val="24"/>
          <w:szCs w:val="24"/>
          <w:lang/>
        </w:rPr>
      </w:pPr>
    </w:p>
    <w:p>
      <w:pPr>
        <w:pStyle w:val="23"/>
        <w:numPr>
          <w:numId w:val="0"/>
        </w:numPr>
        <w:spacing w:before="0" w:after="60" w:line="276" w:lineRule="auto"/>
        <w:contextualSpacing/>
        <w:rPr>
          <w:rFonts w:hint="default" w:ascii="Trebuchet MS" w:hAnsi="Trebuchet MS" w:cs="Trebuchet MS"/>
          <w:b/>
          <w:bCs/>
          <w:color w:val="333333"/>
          <w:sz w:val="24"/>
          <w:szCs w:val="24"/>
          <w:lang/>
        </w:rPr>
      </w:pPr>
      <w:r>
        <w:rPr>
          <w:rFonts w:hint="default" w:ascii="Trebuchet MS" w:hAnsi="Trebuchet MS" w:cs="Trebuchet MS"/>
          <w:b/>
          <w:bCs/>
          <w:color w:val="333333"/>
          <w:sz w:val="24"/>
          <w:szCs w:val="24"/>
          <w:lang/>
        </w:rPr>
        <w:t>Propuesta</w:t>
      </w:r>
    </w:p>
    <w:p>
      <w:pPr>
        <w:pStyle w:val="23"/>
        <w:numPr>
          <w:numId w:val="0"/>
        </w:numPr>
        <w:spacing w:before="0" w:after="60" w:line="276" w:lineRule="auto"/>
        <w:contextualSpacing/>
        <w:rPr>
          <w:rFonts w:hint="default" w:ascii="Trebuchet MS" w:hAnsi="Trebuchet MS" w:cs="Trebuchet MS"/>
          <w:color w:val="333333"/>
          <w:sz w:val="24"/>
          <w:szCs w:val="24"/>
          <w:lang/>
        </w:rPr>
      </w:pP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Estandarización bajo un Framework: </w:t>
      </w:r>
      <w:r>
        <w:rPr>
          <w:rFonts w:hint="default" w:ascii="Trebuchet MS" w:hAnsi="Trebuchet MS" w:cs="Trebuchet MS"/>
          <w:color w:val="333333"/>
          <w:sz w:val="24"/>
          <w:szCs w:val="24"/>
        </w:rPr>
        <w:t>Definición de un Archetype modular en Apache Hop que integra soporte ejecutable para Python/R y promueve el aislamiento de etapas.</w:t>
      </w:r>
    </w:p>
    <w:p>
      <w:pPr>
        <w:pStyle w:val="23"/>
        <w:numPr>
          <w:ilvl w:val="0"/>
          <w:numId w:val="8"/>
        </w:numPr>
        <w:tabs>
          <w:tab w:val="clear" w:pos="420"/>
        </w:tabs>
        <w:spacing w:before="0" w:after="60" w:line="276" w:lineRule="auto"/>
        <w:ind w:left="420" w:leftChars="0" w:hanging="420" w:firstLineChars="0"/>
        <w:rPr>
          <w:rFonts w:hint="default" w:ascii="Trebuchet MS" w:hAnsi="Trebuchet MS" w:cs="Trebuchet MS"/>
          <w:sz w:val="24"/>
          <w:szCs w:val="24"/>
        </w:rPr>
      </w:pPr>
      <w:r>
        <w:rPr>
          <w:rFonts w:hint="default" w:ascii="Trebuchet MS" w:hAnsi="Trebuchet MS" w:cs="Trebuchet MS"/>
          <w:b/>
          <w:color w:val="333333"/>
          <w:sz w:val="24"/>
          <w:szCs w:val="24"/>
        </w:rPr>
        <w:t xml:space="preserve">Patrón de Capas (Capa Staging): </w:t>
      </w:r>
      <w:r>
        <w:rPr>
          <w:rFonts w:hint="default" w:ascii="Trebuchet MS" w:hAnsi="Trebuchet MS" w:cs="Trebuchet MS"/>
          <w:color w:val="333333"/>
          <w:sz w:val="24"/>
          <w:szCs w:val="24"/>
        </w:rPr>
        <w:t>Implementación de una base de datos intermedia (H2 Database) en la capa de Staging. Esto permite descargar la data cruda desde Oracle/Google Sheets</w:t>
      </w:r>
      <w:r>
        <w:rPr>
          <w:rFonts w:hint="default" w:ascii="Trebuchet MS" w:hAnsi="Trebuchet MS" w:cs="Trebuchet MS"/>
          <w:color w:val="333333"/>
          <w:sz w:val="24"/>
          <w:szCs w:val="24"/>
          <w:lang/>
        </w:rPr>
        <w:t>/Mysql</w:t>
      </w:r>
      <w:r>
        <w:rPr>
          <w:rFonts w:hint="default" w:ascii="Trebuchet MS" w:hAnsi="Trebuchet MS" w:cs="Trebuchet MS"/>
          <w:color w:val="333333"/>
          <w:sz w:val="24"/>
          <w:szCs w:val="24"/>
        </w:rPr>
        <w:t>, realizar las transformaciones complejas de forma local de manera eficiente y limpia, y posteriormente cargar la data depurada hacia el Data Warehouse institucional</w:t>
      </w:r>
      <w:r>
        <w:rPr>
          <w:rFonts w:hint="default" w:ascii="Trebuchet MS" w:hAnsi="Trebuchet MS" w:cs="Trebuchet MS"/>
          <w:color w:val="333333"/>
          <w:sz w:val="24"/>
          <w:szCs w:val="24"/>
          <w:lang/>
        </w:rPr>
        <w:t xml:space="preserve"> ORACLE REPOSEP</w:t>
      </w:r>
      <w:r>
        <w:rPr>
          <w:rFonts w:hint="default" w:ascii="Trebuchet MS" w:hAnsi="Trebuchet MS" w:cs="Trebuchet MS"/>
          <w:color w:val="333333"/>
          <w:sz w:val="24"/>
          <w:szCs w:val="24"/>
        </w:rPr>
        <w:t>.</w:t>
      </w:r>
    </w:p>
    <w:p>
      <w:pPr>
        <w:pStyle w:val="23"/>
        <w:numPr>
          <w:numId w:val="0"/>
        </w:numPr>
        <w:spacing w:before="0" w:after="60" w:line="276" w:lineRule="auto"/>
        <w:contextualSpacing/>
        <w:rPr>
          <w:rFonts w:hint="default" w:ascii="Trebuchet MS" w:hAnsi="Trebuchet MS" w:cs="Trebuchet MS"/>
          <w:sz w:val="24"/>
          <w:szCs w:val="24"/>
        </w:rPr>
      </w:pPr>
    </w:p>
    <w:p>
      <w:pPr>
        <w:keepNext/>
        <w:spacing w:before="320" w:after="120"/>
        <w:rPr>
          <w:rFonts w:hint="default" w:ascii="Trebuchet MS" w:hAnsi="Trebuchet MS" w:cs="Trebuchet MS"/>
          <w:color w:val="auto"/>
          <w:sz w:val="24"/>
          <w:szCs w:val="24"/>
        </w:rPr>
      </w:pPr>
      <w:r>
        <w:rPr>
          <w:rFonts w:hint="default" w:ascii="Trebuchet MS" w:hAnsi="Trebuchet MS" w:cs="Trebuchet MS"/>
          <w:b/>
          <w:color w:val="auto"/>
          <w:sz w:val="24"/>
          <w:szCs w:val="24"/>
          <w:lang/>
        </w:rPr>
        <w:t>4</w:t>
      </w:r>
      <w:r>
        <w:rPr>
          <w:rFonts w:hint="default" w:ascii="Trebuchet MS" w:hAnsi="Trebuchet MS" w:cs="Trebuchet MS"/>
          <w:b/>
          <w:color w:val="auto"/>
          <w:sz w:val="24"/>
          <w:szCs w:val="24"/>
        </w:rPr>
        <w:t>. CONCLUSIONES Y RECOMENDACIONES</w:t>
      </w:r>
    </w:p>
    <w:p>
      <w:pPr>
        <w:pStyle w:val="23"/>
        <w:spacing w:before="0" w:after="60" w:line="276" w:lineRule="auto"/>
        <w:rPr>
          <w:rFonts w:hint="default" w:ascii="Trebuchet MS" w:hAnsi="Trebuchet MS" w:cs="Trebuchet MS"/>
          <w:sz w:val="24"/>
          <w:szCs w:val="24"/>
        </w:rPr>
      </w:pPr>
      <w:r>
        <w:rPr>
          <w:rFonts w:hint="default" w:ascii="Trebuchet MS" w:hAnsi="Trebuchet MS" w:cs="Trebuchet MS"/>
          <w:b/>
          <w:color w:val="333333"/>
          <w:sz w:val="24"/>
          <w:szCs w:val="24"/>
        </w:rPr>
        <w:t xml:space="preserve">Sustento del Entregable: </w:t>
      </w:r>
      <w:r>
        <w:rPr>
          <w:rFonts w:hint="default" w:ascii="Trebuchet MS" w:hAnsi="Trebuchet MS" w:cs="Trebuchet MS"/>
          <w:color w:val="333333"/>
          <w:sz w:val="24"/>
          <w:szCs w:val="24"/>
        </w:rPr>
        <w:t>Se ha completado la fase de diagnóstico, mapeo de reglas de negocio y configuración del entorno técnico en Apache Hop, cumpliendo satisfactoriamente con las Actividades A, B y C exigidas.</w:t>
      </w:r>
    </w:p>
    <w:p>
      <w:pPr>
        <w:pStyle w:val="23"/>
        <w:spacing w:before="0" w:after="60" w:line="276" w:lineRule="auto"/>
        <w:rPr>
          <w:rFonts w:hint="default" w:ascii="Trebuchet MS" w:hAnsi="Trebuchet MS" w:cs="Trebuchet MS"/>
          <w:sz w:val="24"/>
          <w:szCs w:val="24"/>
        </w:rPr>
      </w:pPr>
      <w:r>
        <w:rPr>
          <w:rFonts w:hint="default" w:ascii="Trebuchet MS" w:hAnsi="Trebuchet MS" w:cs="Trebuchet MS"/>
          <w:b/>
          <w:color w:val="333333"/>
          <w:sz w:val="24"/>
          <w:szCs w:val="24"/>
        </w:rPr>
        <w:t xml:space="preserve">Viabilidad Técnica: </w:t>
      </w:r>
      <w:r>
        <w:rPr>
          <w:rFonts w:hint="default" w:ascii="Trebuchet MS" w:hAnsi="Trebuchet MS" w:cs="Trebuchet MS"/>
          <w:color w:val="333333"/>
          <w:sz w:val="24"/>
          <w:szCs w:val="24"/>
        </w:rPr>
        <w:t>La arquitectura propuesta utilizando un área de Staging (H2) y plantillas estandarizadas (Archetype) garantiza un entorno escalable, fácil de documentar y mantenible para la CSEP.</w:t>
      </w:r>
    </w:p>
    <w:p>
      <w:pPr>
        <w:pStyle w:val="23"/>
        <w:spacing w:before="0" w:after="60" w:line="276" w:lineRule="auto"/>
        <w:rPr>
          <w:rFonts w:hint="default" w:ascii="Trebuchet MS" w:hAnsi="Trebuchet MS" w:cs="Trebuchet MS"/>
          <w:sz w:val="24"/>
          <w:szCs w:val="24"/>
        </w:rPr>
      </w:pPr>
      <w:r>
        <w:rPr>
          <w:rFonts w:hint="default" w:ascii="Trebuchet MS" w:hAnsi="Trebuchet MS" w:cs="Trebuchet MS"/>
          <w:b/>
          <w:color w:val="333333"/>
          <w:sz w:val="24"/>
          <w:szCs w:val="24"/>
        </w:rPr>
        <w:t xml:space="preserve">Siguiente Paso: </w:t>
      </w:r>
      <w:r>
        <w:rPr>
          <w:rFonts w:hint="default" w:ascii="Trebuchet MS" w:hAnsi="Trebuchet MS" w:cs="Trebuchet MS"/>
          <w:color w:val="333333"/>
          <w:sz w:val="24"/>
          <w:szCs w:val="24"/>
        </w:rPr>
        <w:t>Coordinar con el equipo funcional para la definición del modelo de datos final (esquema estrella/copo de nieve) y seleccionar el primer reporte oficial a migrar hacia el Data Warehouse.</w:t>
      </w:r>
    </w:p>
    <w:p>
      <w:pPr>
        <w:pStyle w:val="23"/>
        <w:numPr>
          <w:numId w:val="0"/>
        </w:numPr>
        <w:spacing w:before="0" w:after="60" w:line="276" w:lineRule="auto"/>
        <w:contextualSpacing/>
        <w:rPr>
          <w:rFonts w:hint="default" w:ascii="Trebuchet MS" w:hAnsi="Trebuchet MS" w:cs="Trebuchet MS"/>
          <w:color w:val="333333"/>
          <w:sz w:val="24"/>
          <w:szCs w:val="24"/>
        </w:rPr>
      </w:pPr>
    </w:p>
    <w:p>
      <w:pPr>
        <w:rPr>
          <w:rFonts w:hint="default" w:ascii="Trebuchet MS" w:hAnsi="Trebuchet MS" w:cs="Trebuchet MS"/>
          <w:sz w:val="24"/>
          <w:szCs w:val="24"/>
        </w:rPr>
      </w:pPr>
    </w:p>
    <w:p>
      <w:pPr>
        <w:rPr>
          <w:rFonts w:hint="default" w:ascii="Trebuchet MS" w:hAnsi="Trebuchet MS" w:cs="Trebuchet MS"/>
          <w:sz w:val="24"/>
          <w:szCs w:val="24"/>
          <w:lang/>
        </w:rPr>
      </w:pPr>
      <w:r>
        <w:rPr>
          <w:rFonts w:hint="default" w:ascii="Trebuchet MS" w:hAnsi="Trebuchet MS" w:cs="Trebuchet MS"/>
          <w:sz w:val="24"/>
          <w:szCs w:val="24"/>
          <w:lang/>
        </w:rPr>
        <w:t>Es cuando informe a usted, para los fines pertinentes.</w:t>
      </w:r>
    </w:p>
    <w:p>
      <w:pPr>
        <w:rPr>
          <w:rFonts w:hint="default" w:ascii="Trebuchet MS" w:hAnsi="Trebuchet MS" w:cs="Trebuchet MS"/>
          <w:sz w:val="24"/>
          <w:szCs w:val="24"/>
          <w:lang/>
        </w:rPr>
      </w:pPr>
      <w:r>
        <w:rPr>
          <w:rFonts w:hint="default" w:ascii="Trebuchet MS" w:hAnsi="Trebuchet MS" w:cs="Trebuchet MS"/>
          <w:sz w:val="24"/>
          <w:szCs w:val="24"/>
          <w:lang/>
        </w:rPr>
        <w:t>Atentamente</w:t>
      </w:r>
    </w:p>
    <w:p>
      <w:pPr>
        <w:rPr>
          <w:rFonts w:hint="default" w:ascii="Trebuchet MS" w:hAnsi="Trebuchet MS" w:cs="Trebuchet MS"/>
          <w:sz w:val="24"/>
          <w:szCs w:val="24"/>
        </w:rPr>
      </w:pPr>
    </w:p>
    <w:p>
      <w:pPr>
        <w:rPr>
          <w:rFonts w:hint="default" w:ascii="Trebuchet MS" w:hAnsi="Trebuchet MS" w:cs="Trebuchet MS"/>
          <w:sz w:val="24"/>
          <w:szCs w:val="24"/>
        </w:rPr>
      </w:pPr>
    </w:p>
    <w:p>
      <w:pPr>
        <w:rPr>
          <w:rFonts w:hint="default" w:ascii="Trebuchet MS" w:hAnsi="Trebuchet MS" w:cs="Trebuchet MS"/>
          <w:sz w:val="24"/>
          <w:szCs w:val="24"/>
        </w:rPr>
      </w:pPr>
    </w:p>
    <w:p>
      <w:pPr>
        <w:rPr>
          <w:rFonts w:hint="default" w:ascii="Trebuchet MS" w:hAnsi="Trebuchet MS" w:cs="Trebuchet MS"/>
          <w:sz w:val="24"/>
          <w:szCs w:val="24"/>
        </w:rPr>
      </w:pPr>
      <w:r>
        <w:rPr>
          <w:rFonts w:hint="default" w:ascii="Trebuchet MS" w:hAnsi="Trebuchet MS" w:cs="Trebuchet MS"/>
          <w:sz w:val="24"/>
          <w:szCs w:val="24"/>
        </w:rPr>
        <w:t>_________________________________________</w:t>
      </w:r>
    </w:p>
    <w:p>
      <w:pPr>
        <w:rPr>
          <w:rFonts w:hint="default" w:ascii="Trebuchet MS" w:hAnsi="Trebuchet MS" w:cs="Trebuchet MS"/>
          <w:sz w:val="24"/>
          <w:szCs w:val="24"/>
        </w:rPr>
      </w:pPr>
      <w:r>
        <w:rPr>
          <w:rFonts w:hint="default" w:ascii="Trebuchet MS" w:hAnsi="Trebuchet MS" w:cs="Trebuchet MS"/>
          <w:sz w:val="24"/>
          <w:szCs w:val="24"/>
        </w:rPr>
        <w:t>Eder Oswaldo Ortega Gonzales</w:t>
      </w:r>
    </w:p>
    <w:p>
      <w:pPr>
        <w:rPr>
          <w:rFonts w:hint="default" w:ascii="Trebuchet MS" w:hAnsi="Trebuchet MS" w:cs="Trebuchet MS"/>
          <w:sz w:val="24"/>
          <w:szCs w:val="24"/>
        </w:rPr>
      </w:pPr>
      <w:r>
        <w:rPr>
          <w:rFonts w:hint="default" w:ascii="Trebuchet MS" w:hAnsi="Trebuchet MS" w:cs="Trebuchet MS"/>
          <w:sz w:val="24"/>
          <w:szCs w:val="24"/>
        </w:rPr>
        <w:t>Consultor / Especialista CSEP</w:t>
      </w:r>
    </w:p>
    <w:p>
      <w:pPr>
        <w:rPr>
          <w:rFonts w:hint="default" w:ascii="Trebuchet MS" w:hAnsi="Trebuchet MS" w:cs="Trebuchet MS"/>
          <w:sz w:val="24"/>
          <w:szCs w:val="24"/>
        </w:rPr>
      </w:pPr>
      <w:r>
        <w:rPr>
          <w:rFonts w:hint="default" w:ascii="Trebuchet MS" w:hAnsi="Trebuchet MS" w:cs="Trebuchet MS"/>
          <w:sz w:val="24"/>
          <w:szCs w:val="24"/>
        </w:rPr>
        <w:t>RUC: 10422020298</w:t>
      </w: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rPr>
          <w:rFonts w:hint="default" w:ascii="Trebuchet MS" w:hAnsi="Trebuchet MS" w:cs="Trebuchet MS"/>
          <w:color w:val="333333"/>
          <w:sz w:val="24"/>
          <w:szCs w:val="24"/>
        </w:rPr>
      </w:pPr>
    </w:p>
    <w:p>
      <w:pPr>
        <w:pStyle w:val="23"/>
        <w:numPr>
          <w:numId w:val="0"/>
        </w:numPr>
        <w:spacing w:before="0" w:after="60" w:line="276" w:lineRule="auto"/>
        <w:contextualSpacing/>
        <w:jc w:val="center"/>
        <w:rPr>
          <w:rFonts w:hint="default" w:ascii="Trebuchet MS" w:hAnsi="Trebuchet MS" w:cs="Trebuchet MS"/>
          <w:b/>
          <w:bCs/>
          <w:color w:val="333333"/>
          <w:sz w:val="28"/>
          <w:szCs w:val="28"/>
          <w:lang/>
        </w:rPr>
      </w:pPr>
      <w:r>
        <w:rPr>
          <w:rFonts w:hint="default" w:ascii="Trebuchet MS" w:hAnsi="Trebuchet MS" w:cs="Trebuchet MS"/>
          <w:b/>
          <w:bCs/>
          <w:color w:val="333333"/>
          <w:sz w:val="28"/>
          <w:szCs w:val="28"/>
          <w:lang/>
        </w:rPr>
        <w:t>Anexos</w:t>
      </w:r>
    </w:p>
    <w:p>
      <w:pPr>
        <w:pStyle w:val="23"/>
        <w:numPr>
          <w:numId w:val="0"/>
        </w:numPr>
        <w:spacing w:before="0" w:after="60" w:line="276" w:lineRule="auto"/>
        <w:contextualSpacing/>
        <w:rPr>
          <w:rFonts w:hint="default" w:ascii="Trebuchet MS" w:hAnsi="Trebuchet MS" w:cs="Trebuchet MS"/>
          <w:color w:val="333333"/>
          <w:sz w:val="24"/>
          <w:szCs w:val="24"/>
          <w:lang/>
        </w:rPr>
      </w:pPr>
    </w:p>
    <w:p>
      <w:pPr>
        <w:pStyle w:val="23"/>
        <w:numPr>
          <w:numId w:val="0"/>
        </w:numPr>
        <w:spacing w:before="0" w:after="60" w:line="276" w:lineRule="auto"/>
        <w:contextualSpacing/>
        <w:rPr>
          <w:rFonts w:hint="default" w:ascii="Trebuchet MS" w:hAnsi="Trebuchet MS" w:cs="Trebuchet MS"/>
          <w:color w:val="333333"/>
          <w:sz w:val="24"/>
          <w:szCs w:val="24"/>
          <w:lang/>
        </w:rPr>
      </w:pPr>
      <w:r>
        <w:rPr>
          <w:rFonts w:hint="default" w:ascii="Trebuchet MS" w:hAnsi="Trebuchet MS" w:cs="Trebuchet MS"/>
          <w:color w:val="333333"/>
          <w:sz w:val="24"/>
          <w:szCs w:val="24"/>
          <w:lang/>
        </w:rPr>
        <w:t>Diagrama ETL Asignaciones_PIN</w:t>
      </w:r>
    </w:p>
    <w:p>
      <w:pPr>
        <w:pStyle w:val="23"/>
        <w:numPr>
          <w:numId w:val="0"/>
        </w:numPr>
        <w:spacing w:before="0" w:after="60" w:line="276" w:lineRule="auto"/>
        <w:contextualSpacing/>
        <w:rPr>
          <w:rFonts w:hint="default" w:ascii="Trebuchet MS" w:hAnsi="Trebuchet MS" w:cs="Trebuchet MS"/>
          <w:color w:val="333333"/>
          <w:sz w:val="24"/>
          <w:szCs w:val="24"/>
          <w:lang/>
        </w:rPr>
      </w:pPr>
    </w:p>
    <w:p>
      <w:pPr>
        <w:pStyle w:val="23"/>
        <w:numPr>
          <w:numId w:val="0"/>
        </w:numPr>
        <w:spacing w:before="0" w:after="60" w:line="276" w:lineRule="auto"/>
        <w:contextualSpacing/>
        <w:rPr>
          <w:rFonts w:hint="default" w:ascii="Trebuchet MS" w:hAnsi="Trebuchet MS" w:cs="Trebuchet MS"/>
          <w:color w:val="333333"/>
          <w:sz w:val="24"/>
          <w:szCs w:val="24"/>
          <w:lang/>
        </w:rPr>
      </w:pPr>
    </w:p>
    <w:p>
      <w:pPr>
        <w:pStyle w:val="23"/>
        <w:numPr>
          <w:numId w:val="0"/>
        </w:numPr>
        <w:spacing w:before="0" w:after="60" w:line="276" w:lineRule="auto"/>
        <w:contextualSpacing/>
      </w:pPr>
      <w:r>
        <w:drawing>
          <wp:inline distT="0" distB="0" distL="114300" distR="114300">
            <wp:extent cx="5728335" cy="482854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8335" cy="4828540"/>
                    </a:xfrm>
                    <a:prstGeom prst="rect">
                      <a:avLst/>
                    </a:prstGeom>
                    <a:noFill/>
                    <a:ln>
                      <a:noFill/>
                    </a:ln>
                  </pic:spPr>
                </pic:pic>
              </a:graphicData>
            </a:graphic>
          </wp:inline>
        </w:drawing>
      </w:r>
    </w:p>
    <w:p>
      <w:pPr>
        <w:pStyle w:val="23"/>
        <w:numPr>
          <w:numId w:val="0"/>
        </w:numPr>
        <w:spacing w:before="0" w:after="60" w:line="276" w:lineRule="auto"/>
        <w:contextualSpacing/>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lang/>
        </w:rPr>
      </w:pPr>
    </w:p>
    <w:p>
      <w:pPr>
        <w:pStyle w:val="23"/>
        <w:numPr>
          <w:numId w:val="0"/>
        </w:numPr>
        <w:spacing w:before="0" w:after="60" w:line="276" w:lineRule="auto"/>
        <w:contextualSpacing/>
        <w:rPr>
          <w:rFonts w:hint="default" w:ascii="Trebuchet MS" w:hAnsi="Trebuchet MS" w:cs="Trebuchet MS"/>
          <w:color w:val="333333"/>
          <w:sz w:val="24"/>
          <w:szCs w:val="24"/>
          <w:lang/>
        </w:rPr>
      </w:pPr>
      <w:r>
        <w:rPr>
          <w:rFonts w:hint="default" w:ascii="Trebuchet MS" w:hAnsi="Trebuchet MS" w:cs="Trebuchet MS"/>
          <w:color w:val="333333"/>
          <w:sz w:val="24"/>
          <w:szCs w:val="24"/>
          <w:lang/>
        </w:rPr>
        <w:t>Diagrama ETL Archetype</w:t>
      </w:r>
    </w:p>
    <w:p>
      <w:pPr>
        <w:pStyle w:val="23"/>
        <w:numPr>
          <w:numId w:val="0"/>
        </w:numPr>
        <w:spacing w:before="0" w:after="60" w:line="276" w:lineRule="auto"/>
        <w:contextualSpacing/>
        <w:rPr>
          <w:rFonts w:hint="default" w:ascii="Trebuchet MS" w:hAnsi="Trebuchet MS" w:cs="Trebuchet MS"/>
          <w:color w:val="333333"/>
          <w:sz w:val="24"/>
          <w:szCs w:val="24"/>
          <w:lang/>
        </w:rPr>
      </w:pPr>
    </w:p>
    <w:p>
      <w:pPr>
        <w:pStyle w:val="23"/>
        <w:numPr>
          <w:numId w:val="0"/>
        </w:numPr>
        <w:spacing w:before="0" w:after="60" w:line="276" w:lineRule="auto"/>
        <w:contextualSpacing/>
        <w:rPr>
          <w:rFonts w:hint="default" w:ascii="Trebuchet MS" w:hAnsi="Trebuchet MS" w:cs="Trebuchet MS"/>
          <w:color w:val="333333"/>
          <w:sz w:val="24"/>
          <w:szCs w:val="24"/>
          <w:lang/>
        </w:rPr>
      </w:pPr>
      <w:r>
        <w:drawing>
          <wp:inline distT="0" distB="0" distL="114300" distR="114300">
            <wp:extent cx="6249670" cy="6160770"/>
            <wp:effectExtent l="0" t="0" r="1778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249670" cy="6160770"/>
                    </a:xfrm>
                    <a:prstGeom prst="rect">
                      <a:avLst/>
                    </a:prstGeom>
                    <a:noFill/>
                    <a:ln>
                      <a:noFill/>
                    </a:ln>
                  </pic:spPr>
                </pic:pic>
              </a:graphicData>
            </a:graphic>
          </wp:inline>
        </w:drawing>
      </w:r>
      <w:bookmarkStart w:id="0" w:name="_GoBack"/>
      <w:bookmarkEnd w:id="0"/>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91F7FC"/>
    <w:multiLevelType w:val="singleLevel"/>
    <w:tmpl w:val="A591F7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7FBE12E3"/>
    <w:multiLevelType w:val="singleLevel"/>
    <w:tmpl w:val="7FBE12E3"/>
    <w:lvl w:ilvl="0" w:tentative="0">
      <w:start w:val="2"/>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A3DE70A"/>
    <w:rsid w:val="DF65730E"/>
    <w:rsid w:val="FFEAC41D"/>
    <w:rsid w:val="FFFF96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eder</cp:lastModifiedBy>
  <dcterms:modified xsi:type="dcterms:W3CDTF">2026-08-10T20:06:37Z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