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4"/>
        </w:rPr>
        <w:t>INFORME N° 003-2026-EOOG</w:t>
      </w:r>
    </w:p>
    <w:p>
      <w:pPr>
        <w:spacing w:after="160"/>
      </w:pPr>
      <w:r>
        <w:rPr>
          <w:rFonts w:ascii="Calibri" w:hAnsi="Calibri"/>
          <w:sz w:val="22"/>
        </w:rPr>
        <w:t>Tercer entregable — Orden de Servicio N° 02772-2026-S — REQ N.° 3629-2026</w:t>
      </w:r>
    </w:p>
    <w:p>
      <w:r>
        <w:rPr>
          <w:rFonts w:ascii="Calibri" w:hAnsi="Calibri"/>
          <w:b/>
          <w:sz w:val="28"/>
        </w:rPr>
        <w:t>Anexo G-1. Cuadros estadísticos y salidas analíticas de multas coercitivas</w:t>
      </w:r>
    </w:p>
    <w:p>
      <w:pPr>
        <w:spacing w:after="160"/>
      </w:pPr>
      <w:r>
        <w:rPr>
          <w:rFonts w:ascii="Calibri" w:hAnsi="Calibri"/>
          <w:sz w:val="22"/>
        </w:rPr>
        <w:t>Lima, 12 de octubre de 2026</w:t>
      </w:r>
    </w:p>
    <w:p>
      <w:pPr>
        <w:spacing w:after="160"/>
      </w:pPr>
      <w:r>
        <w:rPr>
          <w:rFonts w:ascii="Calibri" w:hAnsi="Calibri"/>
          <w:sz w:val="22"/>
        </w:rPr>
        <w:t>Este anexo sustenta la actividad g) del numeral 6 de los TDR para el universo de multas coercitivas. Describe qué cuadros, gráficos y comparaciones pueden armarse con la tabla de negocio publicada, y qué totales no deben construirse.</w:t>
      </w:r>
    </w:p>
    <w:p>
      <w:r>
        <w:rPr>
          <w:rFonts w:ascii="Calibri" w:hAnsi="Calibri"/>
          <w:b/>
          <w:sz w:val="24"/>
        </w:rPr>
        <w:t>1. Censo de lectura</w:t>
      </w:r>
    </w:p>
    <w:p>
      <w:pPr>
        <w:spacing w:after="160"/>
      </w:pPr>
      <w:r>
        <w:rPr>
          <w:rFonts w:ascii="Calibri" w:hAnsi="Calibri"/>
          <w:sz w:val="22"/>
        </w:rPr>
        <w:t>La tabla de negocio es DW_M_FACT_MULTA_COERCITIVA. La última corrida verificada del harness, anterior a la incorporación de F4, registró ≈ 1 271 filas: ≈ 990 de las planillas CSEP (F2) y ≈ 281 de las planillas OD (F1). La vista SISUD de multas (≈ 534 filas en la auditoría de esa vista) pega CUM y CAM cuando coinciden la resolución normalizada y el monto UIT. Esas filas de la vista no se suman a las 1 271.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Magnitud</w:t>
            </w:r>
          </w:p>
        </w:tc>
        <w:tc>
          <w:tcPr>
            <w:tcW w:type="dxa" w:w="2351"/>
          </w:tcPr>
          <w:p>
            <w:r>
              <w:t>Objeto</w:t>
            </w:r>
          </w:p>
        </w:tc>
        <w:tc>
          <w:tcPr>
            <w:tcW w:type="dxa" w:w="2351"/>
          </w:tcPr>
          <w:p>
            <w:r>
              <w:t>Filas de referencia</w:t>
            </w:r>
          </w:p>
        </w:tc>
        <w:tc>
          <w:tcPr>
            <w:tcW w:type="dxa" w:w="2351"/>
          </w:tcPr>
          <w:p>
            <w:r>
              <w:t>Lectura</w:t>
            </w:r>
          </w:p>
        </w:tc>
      </w:tr>
      <w:tr>
        <w:tc>
          <w:tcPr>
            <w:tcW w:type="dxa" w:w="2351"/>
          </w:tcPr>
          <w:p>
            <w:r>
              <w:t>Censo de seguimiento</w:t>
            </w:r>
          </w:p>
        </w:tc>
        <w:tc>
          <w:tcPr>
            <w:tcW w:type="dxa" w:w="2351"/>
          </w:tcPr>
          <w:p>
            <w:r>
              <w:t>DW_M_FACT_MULTA_COERCITIVA</w:t>
            </w:r>
          </w:p>
        </w:tc>
        <w:tc>
          <w:tcPr>
            <w:tcW w:type="dxa" w:w="2351"/>
          </w:tcPr>
          <w:p>
            <w:r>
              <w:t>≈ 1 271</w:t>
            </w:r>
          </w:p>
        </w:tc>
        <w:tc>
          <w:tcPr>
            <w:tcW w:type="dxa" w:w="2351"/>
          </w:tcPr>
          <w:p>
            <w:r>
              <w:t>Planillas F1 ∪ F2</w:t>
            </w:r>
          </w:p>
        </w:tc>
      </w:tr>
      <w:tr>
        <w:tc>
          <w:tcPr>
            <w:tcW w:type="dxa" w:w="2351"/>
          </w:tcPr>
          <w:p>
            <w:r>
              <w:t>De las cuales CSEP</w:t>
            </w:r>
          </w:p>
        </w:tc>
        <w:tc>
          <w:tcPr>
            <w:tcW w:type="dxa" w:w="2351"/>
          </w:tcPr>
          <w:p>
            <w:r>
              <w:t>Misma tabla, origen F2</w:t>
            </w:r>
          </w:p>
        </w:tc>
        <w:tc>
          <w:tcPr>
            <w:tcW w:type="dxa" w:w="2351"/>
          </w:tcPr>
          <w:p>
            <w:r>
              <w:t>≈ 990</w:t>
            </w:r>
          </w:p>
        </w:tc>
        <w:tc>
          <w:tcPr>
            <w:tcW w:type="dxa" w:w="2351"/>
          </w:tcPr>
          <w:p>
            <w:r>
              <w:t>Seguimiento por unidad CSEP</w:t>
            </w:r>
          </w:p>
        </w:tc>
      </w:tr>
      <w:tr>
        <w:tc>
          <w:tcPr>
            <w:tcW w:type="dxa" w:w="2351"/>
          </w:tcPr>
          <w:p>
            <w:r>
              <w:t>De las cuales OD</w:t>
            </w:r>
          </w:p>
        </w:tc>
        <w:tc>
          <w:tcPr>
            <w:tcW w:type="dxa" w:w="2351"/>
          </w:tcPr>
          <w:p>
            <w:r>
              <w:t>Misma tabla, origen F1</w:t>
            </w:r>
          </w:p>
        </w:tc>
        <w:tc>
          <w:tcPr>
            <w:tcW w:type="dxa" w:w="2351"/>
          </w:tcPr>
          <w:p>
            <w:r>
              <w:t>≈ 281</w:t>
            </w:r>
          </w:p>
        </w:tc>
        <w:tc>
          <w:tcPr>
            <w:tcW w:type="dxa" w:w="2351"/>
          </w:tcPr>
          <w:p>
            <w:r>
              <w:t>Seguimiento territorial</w:t>
            </w:r>
          </w:p>
        </w:tc>
      </w:tr>
      <w:tr>
        <w:tc>
          <w:tcPr>
            <w:tcW w:type="dxa" w:w="2351"/>
          </w:tcPr>
          <w:p>
            <w:r>
              <w:t>Lookup institucional</w:t>
            </w:r>
          </w:p>
        </w:tc>
        <w:tc>
          <w:tcPr>
            <w:tcW w:type="dxa" w:w="2351"/>
          </w:tcPr>
          <w:p>
            <w:r>
              <w:t>Vista SISUD (auditoría)</w:t>
            </w:r>
          </w:p>
        </w:tc>
        <w:tc>
          <w:tcPr>
            <w:tcW w:type="dxa" w:w="2351"/>
          </w:tcPr>
          <w:p>
            <w:r>
              <w:t>≈ 534</w:t>
            </w:r>
          </w:p>
        </w:tc>
        <w:tc>
          <w:tcPr>
            <w:tcW w:type="dxa" w:w="2351"/>
          </w:tcPr>
          <w:p>
            <w:r>
              <w:t>CUM/CAM a la derecha; no es otro censo</w:t>
            </w:r>
          </w:p>
        </w:tc>
      </w:tr>
      <w:tr>
        <w:tc>
          <w:tcPr>
            <w:tcW w:type="dxa" w:w="2351"/>
          </w:tcPr>
          <w:p>
            <w:r>
              <w:t>Formulario GAPPS (F4)</w:t>
            </w:r>
          </w:p>
        </w:tc>
        <w:tc>
          <w:tcPr>
            <w:tcW w:type="dxa" w:w="2351"/>
          </w:tcPr>
          <w:p>
            <w:r>
              <w:t>Diseño del fact, sin lookup SISUD</w:t>
            </w:r>
          </w:p>
        </w:tc>
        <w:tc>
          <w:tcPr>
            <w:tcW w:type="dxa" w:w="2351"/>
          </w:tcPr>
          <w:p>
            <w:r>
              <w:t>Sin conteo cerrado</w:t>
            </w:r>
          </w:p>
        </w:tc>
        <w:tc>
          <w:tcPr>
            <w:tcW w:type="dxa" w:w="2351"/>
          </w:tcPr>
          <w:p>
            <w:r>
              <w:t>Fuera de los cuadros de conformidad</w:t>
            </w:r>
          </w:p>
        </w:tc>
      </w:tr>
      <w:tr>
        <w:tc>
          <w:tcPr>
            <w:tcW w:type="dxa" w:w="2351"/>
          </w:tcPr>
          <w:p>
            <w:r>
              <w:t>Espejo MySQL</w:t>
            </w:r>
          </w:p>
        </w:tc>
        <w:tc>
          <w:tcPr>
            <w:tcW w:type="dxa" w:w="2351"/>
          </w:tcPr>
          <w:p>
            <w:r>
              <w:t>Dual-write en curso</w:t>
            </w:r>
          </w:p>
        </w:tc>
        <w:tc>
          <w:tcPr>
            <w:tcW w:type="dxa" w:w="2351"/>
          </w:tcPr>
          <w:p>
            <w:r>
              <w:t>Sin conteo cerrado</w:t>
            </w:r>
          </w:p>
        </w:tc>
        <w:tc>
          <w:tcPr>
            <w:tcW w:type="dxa" w:w="2351"/>
          </w:tcPr>
          <w:p>
            <w:r>
              <w:t>Fuera de los cuadros de conformidad</w:t>
            </w:r>
          </w:p>
        </w:tc>
      </w:tr>
    </w:tbl>
    <w:p/>
    <w:p>
      <w:r>
        <w:rPr>
          <w:rFonts w:ascii="Calibri" w:hAnsi="Calibri"/>
          <w:b/>
          <w:sz w:val="24"/>
        </w:rPr>
        <w:t>2. Cortes de la actividad g)</w:t>
      </w:r>
    </w:p>
    <w:p>
      <w:pPr>
        <w:spacing w:after="160"/>
      </w:pPr>
      <w:r>
        <w:rPr>
          <w:rFonts w:ascii="Calibri" w:hAnsi="Calibri"/>
          <w:sz w:val="22"/>
        </w:rPr>
        <w:t>Los TDR piden comparar por tipo de estrategia, periodo, materia, órgano o unidad responsable, según la información disponible. En multas esos cortes se leen así: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Corte del TDR</w:t>
            </w:r>
          </w:p>
        </w:tc>
        <w:tc>
          <w:tcPr>
            <w:tcW w:type="dxa" w:w="3135"/>
          </w:tcPr>
          <w:p>
            <w:r>
              <w:t>Campo de agrupación</w:t>
            </w:r>
          </w:p>
        </w:tc>
        <w:tc>
          <w:tcPr>
            <w:tcW w:type="dxa" w:w="3135"/>
          </w:tcPr>
          <w:p>
            <w:r>
              <w:t>Pregunta que responde</w:t>
            </w:r>
          </w:p>
        </w:tc>
      </w:tr>
      <w:tr>
        <w:tc>
          <w:tcPr>
            <w:tcW w:type="dxa" w:w="3135"/>
          </w:tcPr>
          <w:p>
            <w:r>
              <w:t>Tipo / estrategia</w:t>
            </w:r>
          </w:p>
        </w:tc>
        <w:tc>
          <w:tcPr>
            <w:tcW w:type="dxa" w:w="3135"/>
          </w:tcPr>
          <w:p>
            <w:r>
              <w:t>Origen de la planilla (CSEP u OD) y estado de la multa</w:t>
            </w:r>
          </w:p>
        </w:tc>
        <w:tc>
          <w:tcPr>
            <w:tcW w:type="dxa" w:w="3135"/>
          </w:tcPr>
          <w:p>
            <w:r>
              <w:t>Cómo se distribuye el seguimiento</w:t>
            </w:r>
          </w:p>
        </w:tc>
      </w:tr>
      <w:tr>
        <w:tc>
          <w:tcPr>
            <w:tcW w:type="dxa" w:w="3135"/>
          </w:tcPr>
          <w:p>
            <w:r>
              <w:t>Periodo</w:t>
            </w:r>
          </w:p>
        </w:tc>
        <w:tc>
          <w:tcPr>
            <w:tcW w:type="dxa" w:w="3135"/>
          </w:tcPr>
          <w:p>
            <w:r>
              <w:t>Año o mes de notificación, firma o vencimiento</w:t>
            </w:r>
          </w:p>
        </w:tc>
        <w:tc>
          <w:tcPr>
            <w:tcW w:type="dxa" w:w="3135"/>
          </w:tcPr>
          <w:p>
            <w:r>
              <w:t>En qué ventana se concentra el ciclo</w:t>
            </w:r>
          </w:p>
        </w:tc>
      </w:tr>
      <w:tr>
        <w:tc>
          <w:tcPr>
            <w:tcW w:type="dxa" w:w="3135"/>
          </w:tcPr>
          <w:p>
            <w:r>
              <w:t>Materia</w:t>
            </w:r>
          </w:p>
        </w:tc>
        <w:tc>
          <w:tcPr>
            <w:tcW w:type="dxa" w:w="3135"/>
          </w:tcPr>
          <w:p>
            <w:r>
              <w:t>Unidad CSEP (minería, hidrocarburos, electricidad, etc.)</w:t>
            </w:r>
          </w:p>
        </w:tc>
        <w:tc>
          <w:tcPr>
            <w:tcW w:type="dxa" w:w="3135"/>
          </w:tcPr>
          <w:p>
            <w:r>
              <w:t>Qué materia concentra el seguimiento de sede</w:t>
            </w:r>
          </w:p>
        </w:tc>
      </w:tr>
      <w:tr>
        <w:tc>
          <w:tcPr>
            <w:tcW w:type="dxa" w:w="3135"/>
          </w:tcPr>
          <w:p>
            <w:r>
              <w:t>Órgano o unidad</w:t>
            </w:r>
          </w:p>
        </w:tc>
        <w:tc>
          <w:tcPr>
            <w:tcW w:type="dxa" w:w="3135"/>
          </w:tcPr>
          <w:p>
            <w:r>
              <w:t>Código de unidad CSEP</w:t>
            </w:r>
          </w:p>
        </w:tc>
        <w:tc>
          <w:tcPr>
            <w:tcW w:type="dxa" w:w="3135"/>
          </w:tcPr>
          <w:p>
            <w:r>
              <w:t>Comparación entre las 10 unidades</w:t>
            </w:r>
          </w:p>
        </w:tc>
      </w:tr>
      <w:tr>
        <w:tc>
          <w:tcPr>
            <w:tcW w:type="dxa" w:w="3135"/>
          </w:tcPr>
          <w:p>
            <w:r>
              <w:t>Unidad territorial</w:t>
            </w:r>
          </w:p>
        </w:tc>
        <w:tc>
          <w:tcPr>
            <w:tcW w:type="dxa" w:w="3135"/>
          </w:tcPr>
          <w:p>
            <w:r>
              <w:t>Código de oficina OD</w:t>
            </w:r>
          </w:p>
        </w:tc>
        <w:tc>
          <w:tcPr>
            <w:tcW w:type="dxa" w:w="3135"/>
          </w:tcPr>
          <w:p>
            <w:r>
              <w:t>Comparación entre las 31 oficinas</w:t>
            </w:r>
          </w:p>
        </w:tc>
      </w:tr>
      <w:tr>
        <w:tc>
          <w:tcPr>
            <w:tcW w:type="dxa" w:w="3135"/>
          </w:tcPr>
          <w:p>
            <w:r>
              <w:t>Monto</w:t>
            </w:r>
          </w:p>
        </w:tc>
        <w:tc>
          <w:tcPr>
            <w:tcW w:type="dxa" w:w="3135"/>
          </w:tcPr>
          <w:p>
            <w:r>
              <w:t>MONTO_UIT y MONTO_S</w:t>
            </w:r>
          </w:p>
        </w:tc>
        <w:tc>
          <w:tcPr>
            <w:tcW w:type="dxa" w:w="3135"/>
          </w:tcPr>
          <w:p>
            <w:r>
              <w:t>Magnitud de la medida, no un conteo de filas</w:t>
            </w:r>
          </w:p>
        </w:tc>
      </w:tr>
    </w:tbl>
    <w:p/>
    <w:p>
      <w:r>
        <w:rPr>
          <w:rFonts w:ascii="Calibri" w:hAnsi="Calibri"/>
          <w:b/>
          <w:sz w:val="24"/>
        </w:rPr>
        <w:t>3. Cobertura nominal: 10 unidades CSEP</w:t>
      </w:r>
    </w:p>
    <w:p>
      <w:pPr>
        <w:spacing w:after="160"/>
      </w:pPr>
      <w:r>
        <w:rPr>
          <w:rFonts w:ascii="Calibri" w:hAnsi="Calibri"/>
          <w:sz w:val="22"/>
        </w:rPr>
        <w:t>El corte por órgano de sede usa estas diez unidades. El anexo no publica un conteo por unidad: ese desagregado se obtiene consultando la tabla de negocio y cambia con la fecha de las planillas. El total de referencia de este corte es ≈ 990.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N.°</w:t>
            </w:r>
          </w:p>
        </w:tc>
        <w:tc>
          <w:tcPr>
            <w:tcW w:type="dxa" w:w="3135"/>
          </w:tcPr>
          <w:p>
            <w:r>
              <w:t>Código</w:t>
            </w:r>
          </w:p>
        </w:tc>
        <w:tc>
          <w:tcPr>
            <w:tcW w:type="dxa" w:w="3135"/>
          </w:tcPr>
          <w:p>
            <w:r>
              <w:t>Unidad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CMIN</w:t>
            </w:r>
          </w:p>
        </w:tc>
        <w:tc>
          <w:tcPr>
            <w:tcW w:type="dxa" w:w="3135"/>
          </w:tcPr>
          <w:p>
            <w:r>
              <w:t>Minería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CHID</w:t>
            </w:r>
          </w:p>
        </w:tc>
        <w:tc>
          <w:tcPr>
            <w:tcW w:type="dxa" w:w="3135"/>
          </w:tcPr>
          <w:p>
            <w:r>
              <w:t>Hidrocarburos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CELE</w:t>
            </w:r>
          </w:p>
        </w:tc>
        <w:tc>
          <w:tcPr>
            <w:tcW w:type="dxa" w:w="3135"/>
          </w:tcPr>
          <w:p>
            <w:r>
              <w:t>Electricidad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CIND</w:t>
            </w:r>
          </w:p>
        </w:tc>
        <w:tc>
          <w:tcPr>
            <w:tcW w:type="dxa" w:w="3135"/>
          </w:tcPr>
          <w:p>
            <w:r>
              <w:t>Industria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CPES</w:t>
            </w:r>
          </w:p>
        </w:tc>
        <w:tc>
          <w:tcPr>
            <w:tcW w:type="dxa" w:w="3135"/>
          </w:tcPr>
          <w:p>
            <w:r>
              <w:t>Pesca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CAGR</w:t>
            </w:r>
          </w:p>
        </w:tc>
        <w:tc>
          <w:tcPr>
            <w:tcW w:type="dxa" w:w="3135"/>
          </w:tcPr>
          <w:p>
            <w:r>
              <w:t>Agricultura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CRES</w:t>
            </w:r>
          </w:p>
        </w:tc>
        <w:tc>
          <w:tcPr>
            <w:tcW w:type="dxa" w:w="3135"/>
          </w:tcPr>
          <w:p>
            <w:r>
              <w:t>Residuos sólidos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CCAM</w:t>
            </w:r>
          </w:p>
        </w:tc>
        <w:tc>
          <w:tcPr>
            <w:tcW w:type="dxa" w:w="3135"/>
          </w:tcPr>
          <w:p>
            <w:r>
              <w:t>Consultoras ambientales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UFED</w:t>
            </w:r>
          </w:p>
        </w:tc>
        <w:tc>
          <w:tcPr>
            <w:tcW w:type="dxa" w:w="3135"/>
          </w:tcPr>
          <w:p>
            <w:r>
              <w:t>UF educación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UFSAVC</w:t>
            </w:r>
          </w:p>
        </w:tc>
        <w:tc>
          <w:tcPr>
            <w:tcW w:type="dxa" w:w="3135"/>
          </w:tcPr>
          <w:p>
            <w:r>
              <w:t>UF vivienda</w:t>
            </w:r>
          </w:p>
        </w:tc>
      </w:tr>
    </w:tbl>
    <w:p/>
    <w:p>
      <w:r>
        <w:rPr>
          <w:rFonts w:ascii="Calibri" w:hAnsi="Calibri"/>
          <w:b/>
          <w:sz w:val="24"/>
        </w:rPr>
        <w:t>4. Cobertura nominal: 31 oficinas desconcentradas</w:t>
      </w:r>
    </w:p>
    <w:p>
      <w:pPr>
        <w:spacing w:after="160"/>
      </w:pPr>
      <w:r>
        <w:rPr>
          <w:rFonts w:ascii="Calibri" w:hAnsi="Calibri"/>
          <w:sz w:val="22"/>
        </w:rPr>
        <w:t>El corte territorial usa estas treinta y una oficinas. Tampoco se inventa aquí un conteo por OD. El total de referencia de este corte es ≈ 281. Omitir las 31 OD subdeclara el alcance del seguimiento.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N.°</w:t>
            </w:r>
          </w:p>
        </w:tc>
        <w:tc>
          <w:tcPr>
            <w:tcW w:type="dxa" w:w="3135"/>
          </w:tcPr>
          <w:p>
            <w:r>
              <w:t>Código OD</w:t>
            </w:r>
          </w:p>
        </w:tc>
        <w:tc>
          <w:tcPr>
            <w:tcW w:type="dxa" w:w="3135"/>
          </w:tcPr>
          <w:p>
            <w:r>
              <w:t>Nombre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AMAZONAS</w:t>
            </w:r>
          </w:p>
        </w:tc>
        <w:tc>
          <w:tcPr>
            <w:tcW w:type="dxa" w:w="3135"/>
          </w:tcPr>
          <w:p>
            <w:r>
              <w:t>Amazonas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ANCASH</w:t>
            </w:r>
          </w:p>
        </w:tc>
        <w:tc>
          <w:tcPr>
            <w:tcW w:type="dxa" w:w="3135"/>
          </w:tcPr>
          <w:p>
            <w:r>
              <w:t>Ancash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APURIMAC</w:t>
            </w:r>
          </w:p>
        </w:tc>
        <w:tc>
          <w:tcPr>
            <w:tcW w:type="dxa" w:w="3135"/>
          </w:tcPr>
          <w:p>
            <w:r>
              <w:t>Apurímac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AREQUIPA</w:t>
            </w:r>
          </w:p>
        </w:tc>
        <w:tc>
          <w:tcPr>
            <w:tcW w:type="dxa" w:w="3135"/>
          </w:tcPr>
          <w:p>
            <w:r>
              <w:t>Arequipa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AYACUCHO</w:t>
            </w:r>
          </w:p>
        </w:tc>
        <w:tc>
          <w:tcPr>
            <w:tcW w:type="dxa" w:w="3135"/>
          </w:tcPr>
          <w:p>
            <w:r>
              <w:t>Ayacucho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CAJAMARCA</w:t>
            </w:r>
          </w:p>
        </w:tc>
        <w:tc>
          <w:tcPr>
            <w:tcW w:type="dxa" w:w="3135"/>
          </w:tcPr>
          <w:p>
            <w:r>
              <w:t>Cajamarca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CHIMBOTE</w:t>
            </w:r>
          </w:p>
        </w:tc>
        <w:tc>
          <w:tcPr>
            <w:tcW w:type="dxa" w:w="3135"/>
          </w:tcPr>
          <w:p>
            <w:r>
              <w:t>Chimbote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CORACORA</w:t>
            </w:r>
          </w:p>
        </w:tc>
        <w:tc>
          <w:tcPr>
            <w:tcW w:type="dxa" w:w="3135"/>
          </w:tcPr>
          <w:p>
            <w:r>
              <w:t>Coracora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COTABAMBAS</w:t>
            </w:r>
          </w:p>
        </w:tc>
        <w:tc>
          <w:tcPr>
            <w:tcW w:type="dxa" w:w="3135"/>
          </w:tcPr>
          <w:p>
            <w:r>
              <w:t>Cotabambas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CUSCO</w:t>
            </w:r>
          </w:p>
        </w:tc>
        <w:tc>
          <w:tcPr>
            <w:tcW w:type="dxa" w:w="3135"/>
          </w:tcPr>
          <w:p>
            <w:r>
              <w:t>Cusco</w:t>
            </w:r>
          </w:p>
        </w:tc>
      </w:tr>
      <w:tr>
        <w:tc>
          <w:tcPr>
            <w:tcW w:type="dxa" w:w="3135"/>
          </w:tcPr>
          <w:p>
            <w:r>
              <w:t>11</w:t>
            </w:r>
          </w:p>
        </w:tc>
        <w:tc>
          <w:tcPr>
            <w:tcW w:type="dxa" w:w="3135"/>
          </w:tcPr>
          <w:p>
            <w:r>
              <w:t>ESPINAR</w:t>
            </w:r>
          </w:p>
        </w:tc>
        <w:tc>
          <w:tcPr>
            <w:tcW w:type="dxa" w:w="3135"/>
          </w:tcPr>
          <w:p>
            <w:r>
              <w:t>Espinar</w:t>
            </w:r>
          </w:p>
        </w:tc>
      </w:tr>
      <w:tr>
        <w:tc>
          <w:tcPr>
            <w:tcW w:type="dxa" w:w="3135"/>
          </w:tcPr>
          <w:p>
            <w:r>
              <w:t>12</w:t>
            </w:r>
          </w:p>
        </w:tc>
        <w:tc>
          <w:tcPr>
            <w:tcW w:type="dxa" w:w="3135"/>
          </w:tcPr>
          <w:p>
            <w:r>
              <w:t>HUANCAVELICA</w:t>
            </w:r>
          </w:p>
        </w:tc>
        <w:tc>
          <w:tcPr>
            <w:tcW w:type="dxa" w:w="3135"/>
          </w:tcPr>
          <w:p>
            <w:r>
              <w:t>Huancavelica</w:t>
            </w:r>
          </w:p>
        </w:tc>
      </w:tr>
      <w:tr>
        <w:tc>
          <w:tcPr>
            <w:tcW w:type="dxa" w:w="3135"/>
          </w:tcPr>
          <w:p>
            <w:r>
              <w:t>13</w:t>
            </w:r>
          </w:p>
        </w:tc>
        <w:tc>
          <w:tcPr>
            <w:tcW w:type="dxa" w:w="3135"/>
          </w:tcPr>
          <w:p>
            <w:r>
              <w:t>HUANUCO</w:t>
            </w:r>
          </w:p>
        </w:tc>
        <w:tc>
          <w:tcPr>
            <w:tcW w:type="dxa" w:w="3135"/>
          </w:tcPr>
          <w:p>
            <w:r>
              <w:t>Huánuco</w:t>
            </w:r>
          </w:p>
        </w:tc>
      </w:tr>
      <w:tr>
        <w:tc>
          <w:tcPr>
            <w:tcW w:type="dxa" w:w="3135"/>
          </w:tcPr>
          <w:p>
            <w:r>
              <w:t>14</w:t>
            </w:r>
          </w:p>
        </w:tc>
        <w:tc>
          <w:tcPr>
            <w:tcW w:type="dxa" w:w="3135"/>
          </w:tcPr>
          <w:p>
            <w:r>
              <w:t>ICA</w:t>
            </w:r>
          </w:p>
        </w:tc>
        <w:tc>
          <w:tcPr>
            <w:tcW w:type="dxa" w:w="3135"/>
          </w:tcPr>
          <w:p>
            <w:r>
              <w:t>Ica</w:t>
            </w:r>
          </w:p>
        </w:tc>
      </w:tr>
      <w:tr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JUNIN</w:t>
            </w:r>
          </w:p>
        </w:tc>
        <w:tc>
          <w:tcPr>
            <w:tcW w:type="dxa" w:w="3135"/>
          </w:tcPr>
          <w:p>
            <w:r>
              <w:t>Junín</w:t>
            </w:r>
          </w:p>
        </w:tc>
      </w:tr>
      <w:tr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LAMBAYEQUE</w:t>
            </w:r>
          </w:p>
        </w:tc>
        <w:tc>
          <w:tcPr>
            <w:tcW w:type="dxa" w:w="3135"/>
          </w:tcPr>
          <w:p>
            <w:r>
              <w:t>Lambayeque</w:t>
            </w:r>
          </w:p>
        </w:tc>
      </w:tr>
      <w:tr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LA_CONVENCION</w:t>
            </w:r>
          </w:p>
        </w:tc>
        <w:tc>
          <w:tcPr>
            <w:tcW w:type="dxa" w:w="3135"/>
          </w:tcPr>
          <w:p>
            <w:r>
              <w:t>La Convención</w:t>
            </w:r>
          </w:p>
        </w:tc>
      </w:tr>
      <w:tr>
        <w:tc>
          <w:tcPr>
            <w:tcW w:type="dxa" w:w="3135"/>
          </w:tcPr>
          <w:p>
            <w:r>
              <w:t>18</w:t>
            </w:r>
          </w:p>
        </w:tc>
        <w:tc>
          <w:tcPr>
            <w:tcW w:type="dxa" w:w="3135"/>
          </w:tcPr>
          <w:p>
            <w:r>
              <w:t>LA_LIBERTAD</w:t>
            </w:r>
          </w:p>
        </w:tc>
        <w:tc>
          <w:tcPr>
            <w:tcW w:type="dxa" w:w="3135"/>
          </w:tcPr>
          <w:p>
            <w:r>
              <w:t>La Libertad</w:t>
            </w:r>
          </w:p>
        </w:tc>
      </w:tr>
      <w:tr>
        <w:tc>
          <w:tcPr>
            <w:tcW w:type="dxa" w:w="3135"/>
          </w:tcPr>
          <w:p>
            <w:r>
              <w:t>19</w:t>
            </w:r>
          </w:p>
        </w:tc>
        <w:tc>
          <w:tcPr>
            <w:tcW w:type="dxa" w:w="3135"/>
          </w:tcPr>
          <w:p>
            <w:r>
              <w:t>LORETO</w:t>
            </w:r>
          </w:p>
        </w:tc>
        <w:tc>
          <w:tcPr>
            <w:tcW w:type="dxa" w:w="3135"/>
          </w:tcPr>
          <w:p>
            <w:r>
              <w:t>Loreto</w:t>
            </w:r>
          </w:p>
        </w:tc>
      </w:tr>
      <w:tr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MADRE_DE_DIOS</w:t>
            </w:r>
          </w:p>
        </w:tc>
        <w:tc>
          <w:tcPr>
            <w:tcW w:type="dxa" w:w="3135"/>
          </w:tcPr>
          <w:p>
            <w:r>
              <w:t>Madre de Dios</w:t>
            </w:r>
          </w:p>
        </w:tc>
      </w:tr>
      <w:tr>
        <w:tc>
          <w:tcPr>
            <w:tcW w:type="dxa" w:w="3135"/>
          </w:tcPr>
          <w:p>
            <w:r>
              <w:t>21</w:t>
            </w:r>
          </w:p>
        </w:tc>
        <w:tc>
          <w:tcPr>
            <w:tcW w:type="dxa" w:w="3135"/>
          </w:tcPr>
          <w:p>
            <w:r>
              <w:t>MOQUEGUA</w:t>
            </w:r>
          </w:p>
        </w:tc>
        <w:tc>
          <w:tcPr>
            <w:tcW w:type="dxa" w:w="3135"/>
          </w:tcPr>
          <w:p>
            <w:r>
              <w:t>Moquegua</w:t>
            </w:r>
          </w:p>
        </w:tc>
      </w:tr>
      <w:tr>
        <w:tc>
          <w:tcPr>
            <w:tcW w:type="dxa" w:w="3135"/>
          </w:tcPr>
          <w:p>
            <w:r>
              <w:t>22</w:t>
            </w:r>
          </w:p>
        </w:tc>
        <w:tc>
          <w:tcPr>
            <w:tcW w:type="dxa" w:w="3135"/>
          </w:tcPr>
          <w:p>
            <w:r>
              <w:t>PASCO</w:t>
            </w:r>
          </w:p>
        </w:tc>
        <w:tc>
          <w:tcPr>
            <w:tcW w:type="dxa" w:w="3135"/>
          </w:tcPr>
          <w:p>
            <w:r>
              <w:t>Pasco</w:t>
            </w:r>
          </w:p>
        </w:tc>
      </w:tr>
      <w:tr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PICHANAKI</w:t>
            </w:r>
          </w:p>
        </w:tc>
        <w:tc>
          <w:tcPr>
            <w:tcW w:type="dxa" w:w="3135"/>
          </w:tcPr>
          <w:p>
            <w:r>
              <w:t>Pichanaki</w:t>
            </w:r>
          </w:p>
        </w:tc>
      </w:tr>
      <w:tr>
        <w:tc>
          <w:tcPr>
            <w:tcW w:type="dxa" w:w="3135"/>
          </w:tcPr>
          <w:p>
            <w:r>
              <w:t>24</w:t>
            </w:r>
          </w:p>
        </w:tc>
        <w:tc>
          <w:tcPr>
            <w:tcW w:type="dxa" w:w="3135"/>
          </w:tcPr>
          <w:p>
            <w:r>
              <w:t>PIURA</w:t>
            </w:r>
          </w:p>
        </w:tc>
        <w:tc>
          <w:tcPr>
            <w:tcW w:type="dxa" w:w="3135"/>
          </w:tcPr>
          <w:p>
            <w:r>
              <w:t>Piura</w:t>
            </w:r>
          </w:p>
        </w:tc>
      </w:tr>
      <w:tr>
        <w:tc>
          <w:tcPr>
            <w:tcW w:type="dxa" w:w="3135"/>
          </w:tcPr>
          <w:p>
            <w:r>
              <w:t>25</w:t>
            </w:r>
          </w:p>
        </w:tc>
        <w:tc>
          <w:tcPr>
            <w:tcW w:type="dxa" w:w="3135"/>
          </w:tcPr>
          <w:p>
            <w:r>
              <w:t>PUNO</w:t>
            </w:r>
          </w:p>
        </w:tc>
        <w:tc>
          <w:tcPr>
            <w:tcW w:type="dxa" w:w="3135"/>
          </w:tcPr>
          <w:p>
            <w:r>
              <w:t>Puno</w:t>
            </w:r>
          </w:p>
        </w:tc>
      </w:tr>
      <w:tr>
        <w:tc>
          <w:tcPr>
            <w:tcW w:type="dxa" w:w="3135"/>
          </w:tcPr>
          <w:p>
            <w:r>
              <w:t>26</w:t>
            </w:r>
          </w:p>
        </w:tc>
        <w:tc>
          <w:tcPr>
            <w:tcW w:type="dxa" w:w="3135"/>
          </w:tcPr>
          <w:p>
            <w:r>
              <w:t>SAN_MARTIN</w:t>
            </w:r>
          </w:p>
        </w:tc>
        <w:tc>
          <w:tcPr>
            <w:tcW w:type="dxa" w:w="3135"/>
          </w:tcPr>
          <w:p>
            <w:r>
              <w:t>San Martín</w:t>
            </w:r>
          </w:p>
        </w:tc>
      </w:tr>
      <w:tr>
        <w:tc>
          <w:tcPr>
            <w:tcW w:type="dxa" w:w="3135"/>
          </w:tcPr>
          <w:p>
            <w:r>
              <w:t>27</w:t>
            </w:r>
          </w:p>
        </w:tc>
        <w:tc>
          <w:tcPr>
            <w:tcW w:type="dxa" w:w="3135"/>
          </w:tcPr>
          <w:p>
            <w:r>
              <w:t>TACNA</w:t>
            </w:r>
          </w:p>
        </w:tc>
        <w:tc>
          <w:tcPr>
            <w:tcW w:type="dxa" w:w="3135"/>
          </w:tcPr>
          <w:p>
            <w:r>
              <w:t>Tacna</w:t>
            </w:r>
          </w:p>
        </w:tc>
      </w:tr>
      <w:tr>
        <w:tc>
          <w:tcPr>
            <w:tcW w:type="dxa" w:w="3135"/>
          </w:tcPr>
          <w:p>
            <w:r>
              <w:t>28</w:t>
            </w:r>
          </w:p>
        </w:tc>
        <w:tc>
          <w:tcPr>
            <w:tcW w:type="dxa" w:w="3135"/>
          </w:tcPr>
          <w:p>
            <w:r>
              <w:t>TALARA</w:t>
            </w:r>
          </w:p>
        </w:tc>
        <w:tc>
          <w:tcPr>
            <w:tcW w:type="dxa" w:w="3135"/>
          </w:tcPr>
          <w:p>
            <w:r>
              <w:t>Talara</w:t>
            </w:r>
          </w:p>
        </w:tc>
      </w:tr>
      <w:tr>
        <w:tc>
          <w:tcPr>
            <w:tcW w:type="dxa" w:w="3135"/>
          </w:tcPr>
          <w:p>
            <w:r>
              <w:t>29</w:t>
            </w:r>
          </w:p>
        </w:tc>
        <w:tc>
          <w:tcPr>
            <w:tcW w:type="dxa" w:w="3135"/>
          </w:tcPr>
          <w:p>
            <w:r>
              <w:t>TUMBES</w:t>
            </w:r>
          </w:p>
        </w:tc>
        <w:tc>
          <w:tcPr>
            <w:tcW w:type="dxa" w:w="3135"/>
          </w:tcPr>
          <w:p>
            <w:r>
              <w:t>Tumbes</w:t>
            </w:r>
          </w:p>
        </w:tc>
      </w:tr>
      <w:tr>
        <w:tc>
          <w:tcPr>
            <w:tcW w:type="dxa" w:w="3135"/>
          </w:tcPr>
          <w:p>
            <w:r>
              <w:t>30</w:t>
            </w:r>
          </w:p>
        </w:tc>
        <w:tc>
          <w:tcPr>
            <w:tcW w:type="dxa" w:w="3135"/>
          </w:tcPr>
          <w:p>
            <w:r>
              <w:t>UCAYALI</w:t>
            </w:r>
          </w:p>
        </w:tc>
        <w:tc>
          <w:tcPr>
            <w:tcW w:type="dxa" w:w="3135"/>
          </w:tcPr>
          <w:p>
            <w:r>
              <w:t>Ucayali</w:t>
            </w:r>
          </w:p>
        </w:tc>
      </w:tr>
      <w:tr>
        <w:tc>
          <w:tcPr>
            <w:tcW w:type="dxa" w:w="3135"/>
          </w:tcPr>
          <w:p>
            <w:r>
              <w:t>31</w:t>
            </w:r>
          </w:p>
        </w:tc>
        <w:tc>
          <w:tcPr>
            <w:tcW w:type="dxa" w:w="3135"/>
          </w:tcPr>
          <w:p>
            <w:r>
              <w:t>VRAEM</w:t>
            </w:r>
          </w:p>
        </w:tc>
        <w:tc>
          <w:tcPr>
            <w:tcW w:type="dxa" w:w="3135"/>
          </w:tcPr>
          <w:p>
            <w:r>
              <w:t>VRAEM</w:t>
            </w:r>
          </w:p>
        </w:tc>
      </w:tr>
    </w:tbl>
    <w:p/>
    <w:p>
      <w:r>
        <w:rPr>
          <w:rFonts w:ascii="Calibri" w:hAnsi="Calibri"/>
          <w:b/>
          <w:sz w:val="24"/>
        </w:rPr>
        <w:t>5. Gráficos admitidos</w:t>
      </w:r>
    </w:p>
    <w:p>
      <w:pPr>
        <w:spacing w:after="160"/>
      </w:pPr>
      <w:r>
        <w:rPr>
          <w:rFonts w:ascii="Calibri" w:hAnsi="Calibri"/>
          <w:sz w:val="22"/>
        </w:rPr>
        <w:t>Se admiten barras de conteo por unidad CSEP o por OD, una serie por año de notificación o de firma, y una distribución por estado de la multa. El título del gráfico declara el denominador (por ejemplo: “planilla CSEP, corrida de referencia ≈ 990”). No se admite un gráfico cuyo total sea 1 271 + 534, ni un indicador K1–K5 leído de Oracle: esas tablas no están en el runtime canónico.</w:t>
      </w:r>
    </w:p>
    <w:p>
      <w:r>
        <w:rPr>
          <w:rFonts w:ascii="Calibri" w:hAnsi="Calibri"/>
          <w:b/>
          <w:sz w:val="24"/>
        </w:rPr>
        <w:t>6. Calidad visible junto al cuadro</w:t>
      </w:r>
    </w:p>
    <w:p>
      <w:pPr>
        <w:spacing w:after="160"/>
      </w:pPr>
      <w:r>
        <w:rPr>
          <w:rFonts w:ascii="Calibri" w:hAnsi="Calibri"/>
          <w:sz w:val="22"/>
        </w:rPr>
        <w:t>Las reglas R01 (llave), R02 (formato CUM/CAM), R03 (coherencia de fechas), R04 (monto UIT no negativo) y R05 (coherencia UIT–soles) se publican en DW_M_DQ_HALLAZGO. La fila de la multa permanece. Un cuadro de “multas conformes” debe decir que excluye las marcadas; no que el censo sea más chico.</w:t>
      </w:r>
    </w:p>
    <w:p>
      <w:r>
        <w:rPr>
          <w:rFonts w:ascii="Calibri" w:hAnsi="Calibri"/>
          <w:b/>
          <w:sz w:val="24"/>
        </w:rPr>
        <w:t>7. Cadena de la salida</w:t>
      </w:r>
    </w:p>
    <w:p>
      <w:pPr>
        <w:spacing w:after="160"/>
      </w:pPr>
      <w:r>
        <w:rPr>
          <w:rFonts w:ascii="Calibri" w:hAnsi="Calibri"/>
          <w:sz w:val="22"/>
        </w:rPr>
        <w:t>Apache Hop deja las planillas en staging H2. Python arma la tabla de negocio. Oracle publica DW_M_FACT_MULTA_COERCITIVA, el detalle de etapas DW_M_DET_ETAPA_MC, los hallazgos y la auditoría 1:1. El crecimiento vertical es más filas de planilla. El crecimiento horizontal es el lookup CUM/CAM en la misma fila. Preguntar “cuántas multas hay en seguimiento” se responde con ≈ 1 271, no con la suma de la vista.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