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Anexo C-1</w:t>
      </w:r>
      <w:r>
        <w:rPr>
          <w:rFonts w:ascii="Times New Roman" w:hAnsi="Times New Roman" w:eastAsia="Times New Roman"/>
          <w:b/>
          <w:sz w:val="24"/>
        </w:rPr>
        <w:br w:type="textWrapping"/>
      </w:r>
      <w:r>
        <w:rPr>
          <w:rFonts w:ascii="Times New Roman" w:hAnsi="Times New Roman" w:eastAsia="Times New Roman"/>
          <w:b/>
          <w:sz w:val="24"/>
        </w:rPr>
        <w:t>Diagnóstico de calidad de la información consolidada</w:t>
      </w:r>
    </w:p>
    <w:p>
      <w:pPr>
        <w:spacing w:before="0" w:after="280" w:line="276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Informe N° 001-2026-EO</w:t>
      </w:r>
      <w:r>
        <w:rPr>
          <w:rFonts w:hint="default" w:ascii="Times New Roman" w:hAnsi="Times New Roman" w:eastAsia="Times New Roman"/>
          <w:b w:val="0"/>
          <w:sz w:val="22"/>
          <w:lang/>
        </w:rPr>
        <w:t>OO</w:t>
      </w:r>
      <w:bookmarkStart w:id="0" w:name="_GoBack"/>
      <w:bookmarkEnd w:id="0"/>
      <w:r>
        <w:rPr>
          <w:rFonts w:ascii="Times New Roman" w:hAnsi="Times New Roman" w:eastAsia="Times New Roman"/>
          <w:b w:val="0"/>
          <w:sz w:val="22"/>
        </w:rPr>
        <w:t xml:space="preserve"> — Primer Entregable — OS N° 02772-2026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4"/>
        </w:rPr>
        <w:t>1. Completitud y unicidad — multas (corrida 11/08/2026)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Fuente</w:t>
            </w:r>
          </w:p>
        </w:tc>
        <w:tc>
          <w:tcPr>
            <w:tcW w:w="181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Filas</w:t>
            </w:r>
          </w:p>
        </w:tc>
        <w:tc>
          <w:tcPr>
            <w:tcW w:w="181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Campo clave</w:t>
            </w:r>
          </w:p>
        </w:tc>
        <w:tc>
          <w:tcPr>
            <w:tcW w:w="181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Distintos</w:t>
            </w:r>
          </w:p>
        </w:tc>
        <w:tc>
          <w:tcPr>
            <w:tcW w:w="181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Hallazgo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GS1 Multas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COD_MA 16/16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Cuatro filas extra: posible duplicado o acto sucesivo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GS2 Multas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COD_MA 21/21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Tres COD_MA repetidos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Etapas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55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COD_PROY_MC 55/55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Grano 1:N; join exacto requiere normalizar texto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Oracle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530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CUM 530/530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530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Llave SISUD completa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MySQL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TX_IDCUM 2/4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50 % de filas sin CUM/CAM</w:t>
            </w:r>
          </w:p>
        </w:tc>
      </w:tr>
    </w:tbl>
    <w:p/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4"/>
        </w:rPr>
        <w:t>2. Consistencia entre universos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Hallazgo</w:t>
            </w:r>
          </w:p>
        </w:tc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Universo</w:t>
            </w:r>
          </w:p>
        </w:tc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Implicancia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Intersección GS1 ∩ GS2 por COD_MA vacía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Planillas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Universos de OD distintos; UNION válido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Intersección COD_MA ∩ CUM = 0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Sheets vs SISUD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No son el mismo identificador; no INNER JOIN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Celdas #N/A en Sheets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GS1/GS2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Landing como texto para no romper Hop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MySQL: 4 filas; 50 % sin CUM/CAM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gapps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Muestra operativa reducida; se conserva con FUENTE=MYSQL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Dominios de estado no homologados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Multas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FG_ESTADOMULTA vs ACTIVO/INCUMPLIDO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TXNUMEXP nulo (muestra de mapeo)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Informes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El puente a expediente de multa no puede asumirse</w:t>
            </w:r>
          </w:p>
        </w:tc>
      </w:tr>
    </w:tbl>
    <w:p/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4"/>
        </w:rPr>
        <w:t>3. Conclusión del diagnóstico</w:t>
      </w:r>
    </w:p>
    <w:p>
      <w:pPr>
        <w:spacing w:before="0" w:after="16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El diagnóstico de calidad del Primer Entregable es suficiente para sustentar la actividad c). La depuración normativa de categorías, el tratamiento de duplicados y los controles de trazabilidad origen–STG–RPT corresponden a los literales d) y e) del Segundo Entregable. Hasta validar un puente de llaves con el área usuaria, los tableros deben filtrar por hecho (informe vs multa) y por FUENTE, sin sumar universos heterogéneos.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lfa Slab On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lfa Slab One">
    <w:panose1 w:val="00000500000000000000"/>
    <w:charset w:val="00"/>
    <w:family w:val="auto"/>
    <w:pitch w:val="default"/>
    <w:sig w:usb0="20000007" w:usb1="00000001" w:usb2="00000000" w:usb3="00000000" w:csb0="20000193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Alfa Slab One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lfa Slab On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lfa Slab One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lfa Slab O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4C3F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eder</cp:lastModifiedBy>
  <dcterms:modified xsi:type="dcterms:W3CDTF">2026-08-14T17:11:27Z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