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line="300" w:lineRule="auto"/>
        <w:jc w:val="right"/>
        <w:rPr>
          <w:sz w:val="20"/>
          <w:szCs w:val="20"/>
          <w:highlight w:val="none"/>
          <w:lang w:val="es-PE"/>
        </w:rPr>
      </w:pPr>
      <w:r>
        <w:rPr>
          <w:rFonts w:ascii="Times New Roman" w:hAnsi="Times New Roman" w:eastAsia="Times New Roman"/>
          <w:sz w:val="20"/>
          <w:szCs w:val="20"/>
          <w:highlight w:val="none"/>
          <w:lang w:val="es-PE"/>
        </w:rPr>
        <w:t>Lima, 14 de agosto de 2026</w:t>
      </w:r>
    </w:p>
    <w:p>
      <w:pPr>
        <w:spacing w:after="240" w:line="300" w:lineRule="auto"/>
        <w:rPr>
          <w:rFonts w:hint="default"/>
          <w:sz w:val="20"/>
          <w:szCs w:val="20"/>
          <w:highlight w:val="none"/>
        </w:rPr>
      </w:pPr>
      <w:r>
        <w:rPr>
          <w:rFonts w:ascii="Times New Roman" w:hAnsi="Times New Roman" w:eastAsia="Times New Roman"/>
          <w:b/>
          <w:sz w:val="20"/>
          <w:szCs w:val="20"/>
          <w:highlight w:val="none"/>
          <w:lang w:val="es-PE"/>
        </w:rPr>
        <w:t>CARTA N° 001-2026-E</w:t>
      </w:r>
      <w:r>
        <w:rPr>
          <w:rFonts w:hint="default" w:ascii="Times New Roman" w:hAnsi="Times New Roman" w:eastAsia="Times New Roman"/>
          <w:b/>
          <w:sz w:val="20"/>
          <w:szCs w:val="20"/>
          <w:highlight w:val="none"/>
        </w:rPr>
        <w:t>OOG</w:t>
      </w:r>
    </w:p>
    <w:p>
      <w:pPr>
        <w:spacing w:after="0" w:line="300" w:lineRule="auto"/>
        <w:rPr>
          <w:sz w:val="20"/>
          <w:szCs w:val="20"/>
          <w:highlight w:val="none"/>
          <w:lang w:val="es-PE"/>
        </w:rPr>
      </w:pPr>
      <w:r>
        <w:rPr>
          <w:rFonts w:ascii="Times New Roman" w:hAnsi="Times New Roman" w:eastAsia="Times New Roman"/>
          <w:sz w:val="20"/>
          <w:szCs w:val="20"/>
          <w:highlight w:val="none"/>
          <w:lang w:val="es-PE"/>
        </w:rPr>
        <w:t>Señor:</w:t>
      </w:r>
    </w:p>
    <w:p>
      <w:pPr>
        <w:spacing w:after="0" w:line="300" w:lineRule="auto"/>
        <w:rPr>
          <w:sz w:val="20"/>
          <w:szCs w:val="20"/>
          <w:highlight w:val="none"/>
          <w:lang w:val="es-PE"/>
        </w:rPr>
      </w:pPr>
      <w:r>
        <w:rPr>
          <w:rFonts w:ascii="Times New Roman" w:hAnsi="Times New Roman" w:eastAsia="Times New Roman"/>
          <w:b/>
          <w:sz w:val="20"/>
          <w:szCs w:val="20"/>
          <w:highlight w:val="none"/>
          <w:lang w:val="es-PE"/>
        </w:rPr>
        <w:t>IGOR ELIAS MEJIA VERAS</w:t>
      </w:r>
    </w:p>
    <w:p>
      <w:pPr>
        <w:spacing w:after="120" w:line="300" w:lineRule="auto"/>
        <w:rPr>
          <w:sz w:val="20"/>
          <w:szCs w:val="20"/>
          <w:highlight w:val="none"/>
          <w:lang w:val="es-PE"/>
        </w:rPr>
      </w:pPr>
      <w:r>
        <w:rPr>
          <w:rFonts w:ascii="Times New Roman" w:hAnsi="Times New Roman" w:eastAsia="Times New Roman"/>
          <w:sz w:val="20"/>
          <w:szCs w:val="20"/>
          <w:highlight w:val="none"/>
          <w:lang w:val="es-PE"/>
        </w:rPr>
        <w:t>Director de la Dirección de Políticas y Estrategias en Fiscalización Ambiental (DPEF)</w:t>
      </w:r>
    </w:p>
    <w:p>
      <w:pPr>
        <w:spacing w:after="120" w:line="300" w:lineRule="auto"/>
        <w:rPr>
          <w:sz w:val="20"/>
          <w:szCs w:val="20"/>
          <w:highlight w:val="none"/>
          <w:lang w:val="es-PE"/>
        </w:rPr>
      </w:pPr>
      <w:r>
        <w:rPr>
          <w:rFonts w:ascii="Times New Roman" w:hAnsi="Times New Roman" w:eastAsia="Times New Roman"/>
          <w:sz w:val="20"/>
          <w:szCs w:val="20"/>
          <w:highlight w:val="none"/>
          <w:lang w:val="es-PE"/>
        </w:rPr>
        <w:t>Presente. -</w:t>
      </w:r>
    </w:p>
    <w:p>
      <w:pPr>
        <w:spacing w:after="0" w:line="300" w:lineRule="auto"/>
        <w:rPr>
          <w:sz w:val="20"/>
          <w:szCs w:val="20"/>
          <w:highlight w:val="none"/>
          <w:lang w:val="es-PE"/>
        </w:rPr>
      </w:pPr>
      <w:r>
        <w:rPr>
          <w:rFonts w:ascii="Times New Roman" w:hAnsi="Times New Roman" w:eastAsia="Times New Roman"/>
          <w:b/>
          <w:sz w:val="20"/>
          <w:szCs w:val="20"/>
          <w:highlight w:val="none"/>
          <w:lang w:val="es-PE"/>
        </w:rPr>
        <w:t xml:space="preserve">Atención: </w:t>
      </w:r>
      <w:r>
        <w:rPr>
          <w:rFonts w:ascii="Times New Roman" w:hAnsi="Times New Roman" w:eastAsia="Times New Roman"/>
          <w:sz w:val="20"/>
          <w:szCs w:val="20"/>
          <w:highlight w:val="none"/>
          <w:lang w:val="es-PE"/>
        </w:rPr>
        <w:t>Presentación del Primer Entregable</w:t>
      </w:r>
    </w:p>
    <w:p>
      <w:pPr>
        <w:spacing w:after="240" w:line="300" w:lineRule="auto"/>
        <w:rPr>
          <w:sz w:val="20"/>
          <w:szCs w:val="20"/>
          <w:highlight w:val="none"/>
          <w:lang w:val="es-PE"/>
        </w:rPr>
      </w:pPr>
      <w:r>
        <w:rPr>
          <w:rFonts w:ascii="Times New Roman" w:hAnsi="Times New Roman" w:eastAsia="Times New Roman"/>
          <w:b/>
          <w:sz w:val="20"/>
          <w:szCs w:val="20"/>
          <w:highlight w:val="none"/>
          <w:lang w:val="es-PE"/>
        </w:rPr>
        <w:t xml:space="preserve">Referencia: </w:t>
      </w:r>
      <w:r>
        <w:rPr>
          <w:rFonts w:ascii="Times New Roman" w:hAnsi="Times New Roman" w:eastAsia="Times New Roman"/>
          <w:sz w:val="20"/>
          <w:szCs w:val="20"/>
          <w:highlight w:val="none"/>
          <w:lang w:val="es-PE"/>
        </w:rPr>
        <w:t>Orden de Servicio N° 02772-2026-S</w:t>
      </w:r>
    </w:p>
    <w:p>
      <w:pPr>
        <w:spacing w:after="160" w:line="300" w:lineRule="auto"/>
        <w:rPr>
          <w:sz w:val="20"/>
          <w:szCs w:val="20"/>
          <w:highlight w:val="none"/>
          <w:lang w:val="es-PE"/>
        </w:rPr>
      </w:pPr>
      <w:r>
        <w:rPr>
          <w:rFonts w:ascii="Times New Roman" w:hAnsi="Times New Roman" w:eastAsia="Times New Roman"/>
          <w:sz w:val="20"/>
          <w:szCs w:val="20"/>
          <w:highlight w:val="none"/>
          <w:lang w:val="es-PE"/>
        </w:rPr>
        <w:t>De mi mayor consideración:</w:t>
      </w:r>
    </w:p>
    <w:p>
      <w:pPr>
        <w:spacing w:after="240" w:line="300" w:lineRule="auto"/>
        <w:rPr>
          <w:sz w:val="20"/>
          <w:szCs w:val="20"/>
          <w:highlight w:val="none"/>
          <w:lang w:val="es-PE"/>
        </w:rPr>
      </w:pPr>
      <w:r>
        <w:rPr>
          <w:rFonts w:ascii="Times New Roman" w:hAnsi="Times New Roman" w:eastAsia="Times New Roman"/>
          <w:sz w:val="20"/>
          <w:szCs w:val="20"/>
          <w:highlight w:val="none"/>
          <w:lang w:val="es-PE"/>
        </w:rPr>
        <w:t>Tengo el agrado de dirigirme a usted, a fin de presentar el primer entregable debidamente suscrito de la “CONTRATACIÓN DEL SERVICIO DE ANÁLISIS DE DATOS E IMPLEMENTACIÓN DE TÉCNICA PARA PROCESAMIENTO DE DATOS PARA LA EVALUACIÓN DE LA EFECTIVIDAD DE LAS ESTRATEGIAS DE PROMOCIÓN DEL CUMPLIMIENTO” correspondiente a la Orden de Servicio N° 02772--2026-S.</w:t>
      </w:r>
    </w:p>
    <w:p>
      <w:pPr>
        <w:spacing w:before="120" w:after="160" w:line="300" w:lineRule="auto"/>
        <w:ind w:firstLine="567"/>
        <w:jc w:val="both"/>
        <w:rPr>
          <w:sz w:val="20"/>
          <w:szCs w:val="20"/>
          <w:highlight w:val="none"/>
          <w:lang w:val="es-PE"/>
        </w:rPr>
      </w:pPr>
      <w:r>
        <w:rPr>
          <w:rFonts w:ascii="Times New Roman" w:hAnsi="Times New Roman" w:eastAsia="Times New Roman"/>
          <w:sz w:val="20"/>
          <w:szCs w:val="20"/>
          <w:highlight w:val="none"/>
          <w:lang w:val="es-PE"/>
        </w:rPr>
        <w:t>Asimismo, se adjunta la siguiente documentación para el pago respectivo de haber obtenido la conformidad del servicio prestado:</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1. Informe N° 001-2026-EO</w:t>
      </w:r>
      <w:r>
        <w:rPr>
          <w:rFonts w:hint="default" w:ascii="Times New Roman" w:hAnsi="Times New Roman" w:eastAsia="Times New Roman"/>
          <w:sz w:val="20"/>
          <w:szCs w:val="20"/>
          <w:highlight w:val="none"/>
        </w:rPr>
        <w:t>OG</w:t>
      </w:r>
      <w:r>
        <w:rPr>
          <w:rFonts w:ascii="Times New Roman" w:hAnsi="Times New Roman" w:eastAsia="Times New Roman"/>
          <w:sz w:val="20"/>
          <w:szCs w:val="20"/>
          <w:highlight w:val="none"/>
          <w:lang w:val="es-PE"/>
        </w:rPr>
        <w:t>, correspondiente al primer entregable.</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2. Términos de Referencia.</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3. Orden de Servicio N° 02772-2026 - S.</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4. Consulta RUC.</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5. Constancia RNP.</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6. Recibo por Honorarios Electrónico.</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7. Validez del recibo por honorarios.</w:t>
      </w:r>
    </w:p>
    <w:p>
      <w:pPr>
        <w:spacing w:after="40" w:line="300" w:lineRule="auto"/>
        <w:rPr>
          <w:sz w:val="20"/>
          <w:szCs w:val="20"/>
          <w:highlight w:val="none"/>
          <w:lang w:val="es-PE"/>
        </w:rPr>
      </w:pPr>
      <w:r>
        <w:rPr>
          <w:rFonts w:ascii="Times New Roman" w:hAnsi="Times New Roman" w:eastAsia="Times New Roman"/>
          <w:sz w:val="20"/>
          <w:szCs w:val="20"/>
          <w:highlight w:val="none"/>
          <w:lang w:val="es-PE"/>
        </w:rPr>
        <w:t>8. Anexos (Carpeta: Anexos Informe 1).</w:t>
      </w:r>
    </w:p>
    <w:p>
      <w:pPr>
        <w:spacing w:before="240" w:after="120" w:line="300" w:lineRule="auto"/>
        <w:rPr>
          <w:sz w:val="20"/>
          <w:szCs w:val="20"/>
          <w:highlight w:val="none"/>
          <w:lang w:val="es-PE"/>
        </w:rPr>
      </w:pPr>
      <w:r>
        <w:rPr>
          <w:rFonts w:ascii="Times New Roman" w:hAnsi="Times New Roman" w:eastAsia="Times New Roman"/>
          <w:sz w:val="20"/>
          <w:szCs w:val="20"/>
          <w:highlight w:val="none"/>
          <w:lang w:val="es-PE"/>
        </w:rPr>
        <w:t>Atentamente.</w:t>
      </w:r>
    </w:p>
    <w:p>
      <w:pPr>
        <w:spacing w:after="0" w:line="300" w:lineRule="auto"/>
        <w:jc w:val="center"/>
        <w:rPr>
          <w:sz w:val="20"/>
          <w:szCs w:val="20"/>
          <w:highlight w:val="none"/>
        </w:rPr>
      </w:pPr>
      <w:r>
        <w:rPr>
          <w:sz w:val="20"/>
          <w:szCs w:val="20"/>
          <w:highlight w:val="none"/>
        </w:rPr>
        <w:drawing>
          <wp:inline distT="0" distB="0" distL="114300" distR="114300">
            <wp:extent cx="1217930" cy="542925"/>
            <wp:effectExtent l="0" t="0" r="127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1217930" cy="542925"/>
                    </a:xfrm>
                    <a:prstGeom prst="rect">
                      <a:avLst/>
                    </a:prstGeom>
                    <a:noFill/>
                    <a:ln>
                      <a:noFill/>
                    </a:ln>
                  </pic:spPr>
                </pic:pic>
              </a:graphicData>
            </a:graphic>
          </wp:inline>
        </w:drawing>
      </w:r>
    </w:p>
    <w:p>
      <w:pPr>
        <w:spacing w:after="0" w:line="300" w:lineRule="auto"/>
        <w:rPr>
          <w:sz w:val="20"/>
          <w:szCs w:val="20"/>
          <w:highlight w:val="none"/>
          <w:lang w:val="es-PE"/>
        </w:rPr>
      </w:pPr>
      <w:r>
        <w:rPr>
          <w:rFonts w:ascii="Times New Roman" w:hAnsi="Times New Roman" w:eastAsia="Times New Roman"/>
          <w:sz w:val="20"/>
          <w:szCs w:val="20"/>
          <w:highlight w:val="none"/>
        </w:rPr>
        <w:tab/>
      </w:r>
      <w:r>
        <w:rPr>
          <w:rFonts w:ascii="Times New Roman" w:hAnsi="Times New Roman" w:eastAsia="Times New Roman"/>
          <w:sz w:val="20"/>
          <w:szCs w:val="20"/>
          <w:highlight w:val="none"/>
        </w:rPr>
        <w:tab/>
      </w:r>
      <w:r>
        <w:rPr>
          <w:rFonts w:ascii="Times New Roman" w:hAnsi="Times New Roman" w:eastAsia="Times New Roman"/>
          <w:sz w:val="20"/>
          <w:szCs w:val="20"/>
          <w:highlight w:val="none"/>
        </w:rPr>
        <w:tab/>
      </w:r>
      <w:r>
        <w:rPr>
          <w:rFonts w:ascii="Times New Roman" w:hAnsi="Times New Roman" w:eastAsia="Times New Roman"/>
          <w:sz w:val="20"/>
          <w:szCs w:val="20"/>
          <w:highlight w:val="none"/>
        </w:rPr>
        <w:tab/>
      </w:r>
      <w:r>
        <w:rPr>
          <w:rFonts w:ascii="Times New Roman" w:hAnsi="Times New Roman" w:eastAsia="Times New Roman"/>
          <w:sz w:val="20"/>
          <w:szCs w:val="20"/>
          <w:highlight w:val="none"/>
          <w:lang w:val="es-PE"/>
        </w:rPr>
        <w:t>________________________________</w:t>
      </w:r>
    </w:p>
    <w:p>
      <w:pPr>
        <w:spacing w:after="0" w:line="300" w:lineRule="auto"/>
        <w:jc w:val="center"/>
        <w:rPr>
          <w:sz w:val="20"/>
          <w:szCs w:val="20"/>
          <w:highlight w:val="none"/>
          <w:lang w:val="es-PE"/>
        </w:rPr>
      </w:pPr>
      <w:r>
        <w:rPr>
          <w:rFonts w:ascii="Times New Roman" w:hAnsi="Times New Roman" w:eastAsia="Times New Roman"/>
          <w:b/>
          <w:sz w:val="20"/>
          <w:szCs w:val="20"/>
          <w:highlight w:val="none"/>
          <w:lang w:val="es-PE"/>
        </w:rPr>
        <w:t>Eder Oswaldo Ortega Gonzales</w:t>
      </w:r>
    </w:p>
    <w:p>
      <w:pPr>
        <w:spacing w:after="360" w:line="240" w:lineRule="auto"/>
        <w:jc w:val="center"/>
        <w:rPr>
          <w:rFonts w:hint="default" w:ascii="Times New Roman" w:hAnsi="Times New Roman" w:eastAsia="Times New Roman"/>
          <w:sz w:val="20"/>
          <w:szCs w:val="20"/>
          <w:highlight w:val="none"/>
        </w:rPr>
      </w:pPr>
      <w:r>
        <w:rPr>
          <w:rFonts w:ascii="Times New Roman" w:hAnsi="Times New Roman" w:eastAsia="Times New Roman"/>
          <w:sz w:val="20"/>
          <w:szCs w:val="20"/>
          <w:highlight w:val="none"/>
        </w:rPr>
        <w:t>DNI:</w:t>
      </w:r>
      <w:r>
        <w:rPr>
          <w:rFonts w:hint="default" w:ascii="Times New Roman" w:hAnsi="Times New Roman" w:eastAsia="Times New Roman"/>
          <w:sz w:val="20"/>
          <w:szCs w:val="20"/>
          <w:highlight w:val="none"/>
        </w:rPr>
        <w:t>42202029</w:t>
      </w:r>
    </w:p>
    <w:p>
      <w:pPr>
        <w:spacing w:after="360" w:line="240" w:lineRule="auto"/>
        <w:jc w:val="center"/>
        <w:rPr>
          <w:sz w:val="20"/>
          <w:szCs w:val="20"/>
          <w:highlight w:val="none"/>
        </w:rPr>
      </w:pPr>
      <w:r>
        <w:rPr>
          <w:rFonts w:ascii="Times New Roman" w:hAnsi="Times New Roman" w:eastAsia="Times New Roman"/>
          <w:sz w:val="20"/>
          <w:szCs w:val="20"/>
          <w:highlight w:val="none"/>
        </w:rPr>
        <w:t>RUC: 10422020298</w:t>
      </w:r>
    </w:p>
    <w:p>
      <w:pPr>
        <w:jc w:val="center"/>
        <w:rPr>
          <w:rFonts w:hint="default"/>
          <w:highlight w:val="none"/>
        </w:rPr>
      </w:pPr>
      <w:r>
        <w:rPr>
          <w:highlight w:val="none"/>
        </w:rPr>
        <w:br w:type="page"/>
      </w:r>
      <w:r>
        <w:rPr>
          <w:rFonts w:ascii="Times New Roman" w:hAnsi="Times New Roman" w:eastAsia="Times New Roman"/>
          <w:b/>
          <w:sz w:val="24"/>
          <w:highlight w:val="none"/>
          <w:lang w:val="es-PE"/>
        </w:rPr>
        <w:t>INFORME N° 001-2026-EO</w:t>
      </w:r>
      <w:r>
        <w:rPr>
          <w:rFonts w:hint="default" w:ascii="Times New Roman" w:hAnsi="Times New Roman" w:eastAsia="Times New Roman"/>
          <w:b/>
          <w:sz w:val="24"/>
          <w:highlight w:val="none"/>
        </w:rPr>
        <w:t>OG</w:t>
      </w:r>
    </w:p>
    <w:p>
      <w:pPr>
        <w:spacing w:after="40" w:line="300" w:lineRule="auto"/>
        <w:rPr>
          <w:highlight w:val="none"/>
          <w:lang w:val="es-PE"/>
        </w:rPr>
      </w:pPr>
      <w:r>
        <w:rPr>
          <w:rFonts w:ascii="Times New Roman" w:hAnsi="Times New Roman" w:eastAsia="Times New Roman"/>
          <w:b/>
          <w:sz w:val="24"/>
          <w:highlight w:val="none"/>
          <w:lang w:val="es-PE"/>
        </w:rPr>
        <w:t>A</w:t>
      </w:r>
      <w:r>
        <w:rPr>
          <w:rFonts w:ascii="Times New Roman" w:hAnsi="Times New Roman" w:eastAsia="Times New Roman"/>
          <w:b/>
          <w:sz w:val="24"/>
          <w:highlight w:val="none"/>
          <w:lang w:val="es-PE"/>
        </w:rPr>
        <w:tab/>
      </w:r>
      <w:r>
        <w:rPr>
          <w:rFonts w:ascii="Times New Roman" w:hAnsi="Times New Roman" w:eastAsia="Times New Roman"/>
          <w:b/>
          <w:sz w:val="24"/>
          <w:highlight w:val="none"/>
          <w:lang w:val="es-PE"/>
        </w:rPr>
        <w:tab/>
      </w:r>
      <w:r>
        <w:rPr>
          <w:rFonts w:ascii="Times New Roman" w:hAnsi="Times New Roman" w:eastAsia="Times New Roman"/>
          <w:b/>
          <w:sz w:val="24"/>
          <w:highlight w:val="none"/>
          <w:lang w:val="es-PE"/>
        </w:rPr>
        <w:t xml:space="preserve">:  </w:t>
      </w:r>
      <w:r>
        <w:rPr>
          <w:rFonts w:ascii="Times New Roman" w:hAnsi="Times New Roman" w:eastAsia="Times New Roman"/>
          <w:sz w:val="24"/>
          <w:highlight w:val="none"/>
          <w:lang w:val="es-PE"/>
        </w:rPr>
        <w:t>IGOR ELIAS MEJIA VERAS</w:t>
      </w:r>
    </w:p>
    <w:p>
      <w:pPr>
        <w:spacing w:after="80" w:line="300" w:lineRule="auto"/>
        <w:rPr>
          <w:highlight w:val="none"/>
          <w:lang w:val="es-PE"/>
        </w:rPr>
      </w:pPr>
      <w:r>
        <w:rPr>
          <w:rFonts w:ascii="Times New Roman" w:hAnsi="Times New Roman" w:eastAsia="Times New Roman"/>
          <w:sz w:val="24"/>
          <w:highlight w:val="none"/>
          <w:lang w:val="es-PE"/>
        </w:rPr>
        <w:tab/>
      </w:r>
      <w:r>
        <w:rPr>
          <w:rFonts w:ascii="Times New Roman" w:hAnsi="Times New Roman" w:eastAsia="Times New Roman"/>
          <w:sz w:val="24"/>
          <w:highlight w:val="none"/>
          <w:lang w:val="es-PE"/>
        </w:rPr>
        <w:tab/>
      </w:r>
      <w:r>
        <w:rPr>
          <w:rFonts w:ascii="Times New Roman" w:hAnsi="Times New Roman" w:eastAsia="Times New Roman"/>
          <w:sz w:val="24"/>
          <w:highlight w:val="none"/>
          <w:lang w:val="es-PE"/>
        </w:rPr>
        <w:t xml:space="preserve">   Director de la Dirección de Políticas y Estrategias en Fiscalización Ambiental del OEFA</w:t>
      </w:r>
    </w:p>
    <w:p>
      <w:pPr>
        <w:spacing w:after="40" w:line="300" w:lineRule="auto"/>
        <w:rPr>
          <w:highlight w:val="none"/>
          <w:lang w:val="es-PE"/>
        </w:rPr>
      </w:pPr>
      <w:r>
        <w:rPr>
          <w:rFonts w:ascii="Times New Roman" w:hAnsi="Times New Roman" w:eastAsia="Times New Roman"/>
          <w:b/>
          <w:sz w:val="24"/>
          <w:highlight w:val="none"/>
          <w:lang w:val="es-PE"/>
        </w:rPr>
        <w:t>Asunto</w:t>
      </w:r>
      <w:r>
        <w:rPr>
          <w:rFonts w:ascii="Times New Roman" w:hAnsi="Times New Roman" w:eastAsia="Times New Roman"/>
          <w:b/>
          <w:sz w:val="24"/>
          <w:highlight w:val="none"/>
          <w:lang w:val="es-PE"/>
        </w:rPr>
        <w:tab/>
      </w:r>
      <w:r>
        <w:rPr>
          <w:rFonts w:ascii="Times New Roman" w:hAnsi="Times New Roman" w:eastAsia="Times New Roman"/>
          <w:b/>
          <w:sz w:val="24"/>
          <w:highlight w:val="none"/>
          <w:lang w:val="es-PE"/>
        </w:rPr>
        <w:t xml:space="preserve">:  </w:t>
      </w:r>
      <w:r>
        <w:rPr>
          <w:rFonts w:ascii="Times New Roman" w:hAnsi="Times New Roman" w:eastAsia="Times New Roman"/>
          <w:sz w:val="24"/>
          <w:highlight w:val="none"/>
          <w:lang w:val="es-PE"/>
        </w:rPr>
        <w:t>Primer entregable de la Orden de Servicio N° 02772-2026-S</w:t>
      </w:r>
    </w:p>
    <w:p>
      <w:pPr>
        <w:spacing w:after="40" w:line="300" w:lineRule="auto"/>
        <w:rPr>
          <w:highlight w:val="none"/>
          <w:lang w:val="es-PE"/>
        </w:rPr>
      </w:pPr>
      <w:r>
        <w:rPr>
          <w:rFonts w:ascii="Times New Roman" w:hAnsi="Times New Roman" w:eastAsia="Times New Roman"/>
          <w:b/>
          <w:sz w:val="24"/>
          <w:highlight w:val="none"/>
          <w:lang w:val="es-PE"/>
        </w:rPr>
        <w:t>Ref.</w:t>
      </w:r>
      <w:r>
        <w:rPr>
          <w:rFonts w:ascii="Times New Roman" w:hAnsi="Times New Roman" w:eastAsia="Times New Roman"/>
          <w:b/>
          <w:sz w:val="24"/>
          <w:highlight w:val="none"/>
          <w:lang w:val="es-PE"/>
        </w:rPr>
        <w:tab/>
      </w:r>
      <w:r>
        <w:rPr>
          <w:rFonts w:ascii="Times New Roman" w:hAnsi="Times New Roman" w:eastAsia="Times New Roman"/>
          <w:b/>
          <w:sz w:val="24"/>
          <w:highlight w:val="none"/>
          <w:lang w:val="es-PE"/>
        </w:rPr>
        <w:t xml:space="preserve">:  </w:t>
      </w:r>
      <w:r>
        <w:rPr>
          <w:rFonts w:ascii="Times New Roman" w:hAnsi="Times New Roman" w:eastAsia="Times New Roman"/>
          <w:sz w:val="24"/>
          <w:highlight w:val="none"/>
          <w:lang w:val="es-PE"/>
        </w:rPr>
        <w:t>Términos de Referencia de la Orden de Servicio N° 02772-2026-S</w:t>
      </w:r>
    </w:p>
    <w:p>
      <w:pPr>
        <w:spacing w:after="40" w:line="300" w:lineRule="auto"/>
        <w:rPr>
          <w:highlight w:val="none"/>
          <w:lang w:val="es-PE"/>
        </w:rPr>
      </w:pPr>
      <w:r>
        <w:rPr>
          <w:rFonts w:ascii="Times New Roman" w:hAnsi="Times New Roman" w:eastAsia="Times New Roman"/>
          <w:b/>
          <w:sz w:val="24"/>
          <w:highlight w:val="none"/>
          <w:lang w:val="es-PE"/>
        </w:rPr>
        <w:t>Fecha</w:t>
      </w:r>
      <w:r>
        <w:rPr>
          <w:rFonts w:ascii="Times New Roman" w:hAnsi="Times New Roman" w:eastAsia="Times New Roman"/>
          <w:b/>
          <w:sz w:val="24"/>
          <w:highlight w:val="none"/>
          <w:lang w:val="es-PE"/>
        </w:rPr>
        <w:tab/>
      </w:r>
      <w:r>
        <w:rPr>
          <w:rFonts w:ascii="Times New Roman" w:hAnsi="Times New Roman" w:eastAsia="Times New Roman"/>
          <w:b/>
          <w:sz w:val="24"/>
          <w:highlight w:val="none"/>
          <w:lang w:val="es-PE"/>
        </w:rPr>
        <w:t xml:space="preserve">:  </w:t>
      </w:r>
      <w:r>
        <w:rPr>
          <w:rFonts w:ascii="Times New Roman" w:hAnsi="Times New Roman" w:eastAsia="Times New Roman"/>
          <w:sz w:val="24"/>
          <w:highlight w:val="none"/>
          <w:lang w:val="es-PE"/>
        </w:rPr>
        <w:t>Lima, 14 de agosto de 2026.</w:t>
      </w:r>
    </w:p>
    <w:p>
      <w:pPr>
        <w:spacing w:before="200" w:after="160" w:line="300" w:lineRule="auto"/>
        <w:ind w:firstLine="567"/>
        <w:jc w:val="both"/>
        <w:rPr>
          <w:highlight w:val="none"/>
          <w:lang w:val="es-PE"/>
        </w:rPr>
      </w:pPr>
      <w:r>
        <w:rPr>
          <w:rFonts w:ascii="Times New Roman" w:hAnsi="Times New Roman" w:eastAsia="Times New Roman"/>
          <w:sz w:val="24"/>
          <w:highlight w:val="none"/>
          <w:lang w:val="es-PE"/>
        </w:rPr>
        <w:t>Es grato dirigirme a usted, para saludarlo e informarle de las actividades realizadas en relación con el primer entregable de la Orden de Servicio N° 02772-2026-S.</w:t>
      </w:r>
    </w:p>
    <w:p>
      <w:pPr>
        <w:spacing w:before="240" w:after="160" w:line="300" w:lineRule="auto"/>
        <w:rPr>
          <w:highlight w:val="none"/>
          <w:lang w:val="es-PE"/>
        </w:rPr>
      </w:pPr>
      <w:r>
        <w:rPr>
          <w:rFonts w:ascii="Times New Roman" w:hAnsi="Times New Roman" w:eastAsia="Times New Roman"/>
          <w:b/>
          <w:sz w:val="24"/>
          <w:highlight w:val="none"/>
          <w:lang w:val="es-PE"/>
        </w:rPr>
        <w:t>I. ANTECEDENTE:</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 Mediante la Orden de Servicio N° 02772-2026-S, de fecha 15 de julio de 2026, se contrataron mis servicios profesionales denominados “CONTRATACIÓN DEL SERVICIO DE ANÁLISIS DE DATOS E IMPLEMENTACIÓN DE TÉCNICA PARA PROCESAMIENTO DE DATOS PARA LA EVALUACIÓN DE LA EFECTIVIDAD DE LAS ESTRATEGIAS DE PROMOCIÓN DEL CUMPLIMIENTO”. Dicho servicio consta de tres (03) entregables, con un plazo de entrega para el primer entregable de hasta treinta (30) días calendario, contados desde el día siguiente a la notificación de la orden de servicio.</w:t>
      </w:r>
    </w:p>
    <w:p>
      <w:pPr>
        <w:spacing w:after="160" w:line="300" w:lineRule="auto"/>
        <w:ind w:firstLine="567"/>
        <w:jc w:val="both"/>
        <w:rPr>
          <w:highlight w:val="none"/>
          <w:lang w:val="es-PE"/>
        </w:rPr>
      </w:pPr>
    </w:p>
    <w:p>
      <w:pPr>
        <w:spacing w:before="280" w:after="160" w:line="300" w:lineRule="auto"/>
        <w:rPr>
          <w:highlight w:val="none"/>
          <w:lang w:val="es-PE"/>
        </w:rPr>
      </w:pPr>
      <w:r>
        <w:rPr>
          <w:rFonts w:ascii="Times New Roman" w:hAnsi="Times New Roman" w:eastAsia="Times New Roman"/>
          <w:b/>
          <w:sz w:val="24"/>
          <w:highlight w:val="none"/>
          <w:lang w:val="es-PE"/>
        </w:rPr>
        <w:t>II. DESARROLLO</w:t>
      </w:r>
    </w:p>
    <w:p>
      <w:pPr>
        <w:spacing w:after="160" w:line="300" w:lineRule="auto"/>
        <w:ind w:firstLine="567"/>
        <w:jc w:val="both"/>
        <w:rPr>
          <w:highlight w:val="none"/>
          <w:lang w:val="es-PE"/>
        </w:rPr>
      </w:pPr>
      <w:r>
        <w:rPr>
          <w:rFonts w:ascii="Times New Roman" w:hAnsi="Times New Roman" w:eastAsia="Times New Roman"/>
          <w:sz w:val="24"/>
          <w:highlight w:val="none"/>
          <w:lang w:val="es-PE"/>
        </w:rPr>
        <w:t>2. Conforme al numeral 7 de los términos de referencia del servicio referido, el primer entregable deberá considerar lo siguiente: Un (01) Informe detallando el cumplimiento de las actividades a), b) y c) descritas en el numeral 6 del presente documento, adjuntando el sustento correspondiente.</w:t>
      </w:r>
    </w:p>
    <w:p>
      <w:pPr>
        <w:spacing w:after="160" w:line="300" w:lineRule="auto"/>
        <w:ind w:firstLine="567"/>
        <w:jc w:val="both"/>
        <w:rPr>
          <w:highlight w:val="none"/>
          <w:lang w:val="es-PE"/>
        </w:rPr>
      </w:pPr>
      <w:r>
        <w:rPr>
          <w:rFonts w:ascii="Times New Roman" w:hAnsi="Times New Roman" w:eastAsia="Times New Roman"/>
          <w:sz w:val="24"/>
          <w:highlight w:val="none"/>
          <w:lang w:val="es-PE"/>
        </w:rPr>
        <w:t>Las actividades en mención son las siguientes: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a) Consolidar la información relacionada con las estrategias de promoción del cumplimiento contenidas en los informes de supervisión y multas coercitivas, integrando las bases de datos, registros, reportes, formularios u otras fuentes proporcionadas.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b) Revisar la estructura y contenido de las bases de datos disponibles, verificando la correspondencia entre campos, variables, criterios de clasificación, periodos de análisis e indicadores vinculados a las estrategias de promoción del cumplimiento contenidas en los informes de supervisión y multas coercitivas.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c) Validar la completitud, consistencia y coherencia de la información recopilada, identificando registros incompletos, duplicados, inconsistentes, valores fuera de rango, errores de codificación u otros hallazgos que puedan afectar la calidad del análisis.</w:t>
      </w:r>
    </w:p>
    <w:p>
      <w:pPr>
        <w:spacing w:before="120" w:after="160" w:line="300" w:lineRule="auto"/>
        <w:ind w:firstLine="567"/>
        <w:jc w:val="both"/>
        <w:rPr>
          <w:highlight w:val="none"/>
          <w:lang w:val="es-PE"/>
        </w:rPr>
      </w:pPr>
      <w:r>
        <w:rPr>
          <w:rFonts w:ascii="Times New Roman" w:hAnsi="Times New Roman" w:eastAsia="Times New Roman"/>
          <w:sz w:val="24"/>
          <w:highlight w:val="none"/>
          <w:lang w:val="es-PE"/>
        </w:rPr>
        <w:t>3. Al respecto, se citan las acciones realizadas durante el periodo correspondiente al primer entregable, incluyendo información pormenorizada, a fin de dar cumplimiento a las actividades establecidas en los términos de referencia de la Orden de Servicio N° 02772-2026-s. La metodología aplicada combinó: (i) inventario y caracterización de fuentes; (ii) diseño por capas con Apache Hop, staging H2 in-memory y consolidación diferenciada (R para el UNION de multas; Hop para la RPT de informes); (iii) revisión estructural de grano y llaves; (iv) validación de completitud, unicidad y coherencia; y (v) trazabilidad mediante las columnas FUENTE y FECHA_CARGA, con el workflow wf_staging.hwf reejecutable.</w:t>
      </w:r>
    </w:p>
    <w:p>
      <w:pPr>
        <w:spacing w:before="240" w:after="160" w:line="300" w:lineRule="auto"/>
        <w:jc w:val="both"/>
        <w:rPr>
          <w:highlight w:val="none"/>
          <w:lang w:val="es-PE"/>
        </w:rPr>
      </w:pPr>
      <w:r>
        <w:rPr>
          <w:rFonts w:ascii="Times New Roman" w:hAnsi="Times New Roman" w:eastAsia="Times New Roman"/>
          <w:b/>
          <w:sz w:val="24"/>
          <w:highlight w:val="none"/>
          <w:lang w:val="es-PE"/>
        </w:rPr>
        <w:t>a) Consolidar la información relacionada con las estrategias de promoción del cumplimiento contenidas en los informes de supervisión y multas coercitivas, integrando las bases de datos, registros, reportes, formularios u otras fuentes proporcionadas.</w:t>
      </w:r>
    </w:p>
    <w:p>
      <w:pPr>
        <w:spacing w:after="160" w:line="300" w:lineRule="auto"/>
        <w:ind w:firstLine="567"/>
        <w:jc w:val="both"/>
        <w:rPr>
          <w:highlight w:val="none"/>
        </w:rPr>
      </w:pPr>
      <w:r>
        <w:rPr>
          <w:rFonts w:ascii="Times New Roman" w:hAnsi="Times New Roman" w:eastAsia="Times New Roman"/>
          <w:sz w:val="24"/>
          <w:highlight w:val="none"/>
          <w:lang w:val="es-PE"/>
        </w:rPr>
        <w:t xml:space="preserve">4. Inventario e integración de fuentes: En coordinación con la CSEP se identificaron e integraron las fuentes institucionales disponibles para el análisis de estrategias de promoción del cumplimiento asociadas a informes de supervisión y multas coercitivas. </w:t>
      </w:r>
      <w:r>
        <w:rPr>
          <w:rFonts w:ascii="Times New Roman" w:hAnsi="Times New Roman" w:eastAsia="Times New Roman"/>
          <w:sz w:val="24"/>
          <w:highlight w:val="none"/>
        </w:rPr>
        <w:t>El inventario operativo se resume en el siguiente cuadro: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1992"/>
        <w:gridCol w:w="3017"/>
        <w:gridCol w:w="2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N.°</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Origen</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Objeto</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Destino STG / 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1</w:t>
            </w:r>
          </w:p>
        </w:tc>
        <w:tc>
          <w:tcPr>
            <w:tcW w:w="2351" w:type="dxa"/>
          </w:tcPr>
          <w:p>
            <w:pPr>
              <w:spacing w:after="0" w:line="240" w:lineRule="auto"/>
              <w:rPr>
                <w:highlight w:val="none"/>
              </w:rPr>
            </w:pPr>
            <w:r>
              <w:rPr>
                <w:rFonts w:ascii="Times New Roman" w:hAnsi="Times New Roman" w:eastAsia="Times New Roman"/>
                <w:sz w:val="18"/>
                <w:highlight w:val="none"/>
              </w:rPr>
              <w:t>Google Sheets GS1</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Hojas «Multas coercitivas» y «Etapas»</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STG_GS1_* → RPT multas (GS1, GS_ETAPA)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2</w:t>
            </w:r>
          </w:p>
        </w:tc>
        <w:tc>
          <w:tcPr>
            <w:tcW w:w="2351" w:type="dxa"/>
          </w:tcPr>
          <w:p>
            <w:pPr>
              <w:spacing w:after="0" w:line="240" w:lineRule="auto"/>
              <w:rPr>
                <w:highlight w:val="none"/>
              </w:rPr>
            </w:pPr>
            <w:r>
              <w:rPr>
                <w:rFonts w:ascii="Times New Roman" w:hAnsi="Times New Roman" w:eastAsia="Times New Roman"/>
                <w:sz w:val="18"/>
                <w:highlight w:val="none"/>
              </w:rPr>
              <w:t>Google Sheets GS2</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Hoja «Multas Coercitivas» (OD Lambayeque / CRES)</w:t>
            </w:r>
          </w:p>
        </w:tc>
        <w:tc>
          <w:tcPr>
            <w:tcW w:w="2351" w:type="dxa"/>
          </w:tcPr>
          <w:p>
            <w:pPr>
              <w:spacing w:after="0" w:line="240" w:lineRule="auto"/>
              <w:rPr>
                <w:highlight w:val="none"/>
              </w:rPr>
            </w:pPr>
            <w:r>
              <w:rPr>
                <w:rFonts w:ascii="Times New Roman" w:hAnsi="Times New Roman" w:eastAsia="Times New Roman"/>
                <w:sz w:val="18"/>
                <w:highlight w:val="none"/>
              </w:rPr>
              <w:t>STG_GS2_* → RPT multas (GS2)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3</w:t>
            </w:r>
          </w:p>
        </w:tc>
        <w:tc>
          <w:tcPr>
            <w:tcW w:w="2351" w:type="dxa"/>
          </w:tcPr>
          <w:p>
            <w:pPr>
              <w:spacing w:after="0" w:line="240" w:lineRule="auto"/>
              <w:rPr>
                <w:highlight w:val="none"/>
              </w:rPr>
            </w:pPr>
            <w:r>
              <w:rPr>
                <w:rFonts w:ascii="Times New Roman" w:hAnsi="Times New Roman" w:eastAsia="Times New Roman"/>
                <w:sz w:val="18"/>
                <w:highlight w:val="none"/>
              </w:rPr>
              <w:t>Oracle SISUD (oefabd)</w:t>
            </w:r>
          </w:p>
        </w:tc>
        <w:tc>
          <w:tcPr>
            <w:tcW w:w="2351" w:type="dxa"/>
          </w:tcPr>
          <w:p>
            <w:pPr>
              <w:spacing w:after="0" w:line="240" w:lineRule="auto"/>
              <w:rPr>
                <w:highlight w:val="none"/>
              </w:rPr>
            </w:pPr>
            <w:r>
              <w:rPr>
                <w:rFonts w:ascii="Times New Roman" w:hAnsi="Times New Roman" w:eastAsia="Times New Roman"/>
                <w:sz w:val="18"/>
                <w:highlight w:val="none"/>
              </w:rPr>
              <w:t>VW_MULTA_COERCITIVA</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STG_ORA_VW_* → RPT multas (ORA)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4</w:t>
            </w:r>
          </w:p>
        </w:tc>
        <w:tc>
          <w:tcPr>
            <w:tcW w:w="2351" w:type="dxa"/>
          </w:tcPr>
          <w:p>
            <w:pPr>
              <w:spacing w:after="0" w:line="240" w:lineRule="auto"/>
              <w:rPr>
                <w:highlight w:val="none"/>
              </w:rPr>
            </w:pPr>
            <w:r>
              <w:rPr>
                <w:rFonts w:ascii="Times New Roman" w:hAnsi="Times New Roman" w:eastAsia="Times New Roman"/>
                <w:sz w:val="18"/>
                <w:highlight w:val="none"/>
              </w:rPr>
              <w:t>MySQL gapps</w:t>
            </w:r>
          </w:p>
        </w:tc>
        <w:tc>
          <w:tcPr>
            <w:tcW w:w="2351" w:type="dxa"/>
          </w:tcPr>
          <w:p>
            <w:pPr>
              <w:spacing w:after="0" w:line="240" w:lineRule="auto"/>
              <w:rPr>
                <w:highlight w:val="none"/>
              </w:rPr>
            </w:pPr>
            <w:r>
              <w:rPr>
                <w:rFonts w:ascii="Times New Roman" w:hAnsi="Times New Roman" w:eastAsia="Times New Roman"/>
                <w:sz w:val="18"/>
                <w:highlight w:val="none"/>
              </w:rPr>
              <w:t>T_MVC_MULTACOERCITIVA_MC</w:t>
            </w:r>
          </w:p>
        </w:tc>
        <w:tc>
          <w:tcPr>
            <w:tcW w:w="2351" w:type="dxa"/>
          </w:tcPr>
          <w:p>
            <w:pPr>
              <w:spacing w:after="0" w:line="240" w:lineRule="auto"/>
              <w:rPr>
                <w:highlight w:val="none"/>
              </w:rPr>
            </w:pPr>
            <w:r>
              <w:rPr>
                <w:rFonts w:ascii="Times New Roman" w:hAnsi="Times New Roman" w:eastAsia="Times New Roman"/>
                <w:sz w:val="18"/>
                <w:highlight w:val="none"/>
              </w:rPr>
              <w:t>STG_MYSQL_* → RPT multas (MYSQL)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5</w:t>
            </w:r>
          </w:p>
        </w:tc>
        <w:tc>
          <w:tcPr>
            <w:tcW w:w="2351" w:type="dxa"/>
          </w:tcPr>
          <w:p>
            <w:pPr>
              <w:spacing w:after="0" w:line="240" w:lineRule="auto"/>
              <w:rPr>
                <w:highlight w:val="none"/>
              </w:rPr>
            </w:pPr>
            <w:r>
              <w:rPr>
                <w:rFonts w:ascii="Times New Roman" w:hAnsi="Times New Roman" w:eastAsia="Times New Roman"/>
                <w:sz w:val="18"/>
                <w:highlight w:val="none"/>
              </w:rPr>
              <w:t>Oracle SISUD (oefabd)</w:t>
            </w:r>
          </w:p>
        </w:tc>
        <w:tc>
          <w:tcPr>
            <w:tcW w:w="2351" w:type="dxa"/>
          </w:tcPr>
          <w:p>
            <w:pPr>
              <w:spacing w:after="0" w:line="240" w:lineRule="auto"/>
              <w:rPr>
                <w:highlight w:val="none"/>
              </w:rPr>
            </w:pPr>
            <w:r>
              <w:rPr>
                <w:rFonts w:ascii="Times New Roman" w:hAnsi="Times New Roman" w:eastAsia="Times New Roman"/>
                <w:sz w:val="18"/>
                <w:highlight w:val="none"/>
              </w:rPr>
              <w:t>CSEP_INFORMES_VIEW</w:t>
            </w:r>
          </w:p>
        </w:tc>
        <w:tc>
          <w:tcPr>
            <w:tcW w:w="2351" w:type="dxa"/>
          </w:tcPr>
          <w:p>
            <w:pPr>
              <w:spacing w:after="0" w:line="240" w:lineRule="auto"/>
              <w:rPr>
                <w:highlight w:val="none"/>
              </w:rPr>
            </w:pPr>
            <w:r>
              <w:rPr>
                <w:rFonts w:ascii="Times New Roman" w:hAnsi="Times New Roman" w:eastAsia="Times New Roman"/>
                <w:sz w:val="18"/>
                <w:highlight w:val="none"/>
              </w:rPr>
              <w:t>STG_ORA_CSEP_INFORMES → RPT_INFORME_SUPERVISION</w:t>
            </w:r>
          </w:p>
        </w:tc>
      </w:tr>
    </w:tbl>
    <w:p>
      <w:pPr>
        <w:spacing w:after="80"/>
        <w:rPr>
          <w:highlight w:val="none"/>
        </w:rPr>
      </w:pPr>
    </w:p>
    <w:p>
      <w:pPr>
        <w:jc w:val="center"/>
        <w:rPr>
          <w:highlight w:val="none"/>
          <w:lang w:val="es-PE"/>
        </w:rPr>
      </w:pPr>
      <w:r>
        <w:rPr>
          <w:rFonts w:ascii="Times New Roman" w:hAnsi="Times New Roman" w:eastAsia="Times New Roman"/>
          <w:i/>
          <w:sz w:val="20"/>
          <w:highlight w:val="none"/>
          <w:lang w:val="es-PE"/>
        </w:rPr>
        <w:t>Cuadro 1. Inventario de fuentes integradas en el Primer Entregable.</w:t>
      </w:r>
    </w:p>
    <w:p>
      <w:pPr>
        <w:spacing w:after="160" w:line="300" w:lineRule="auto"/>
        <w:ind w:firstLine="567"/>
        <w:jc w:val="both"/>
        <w:rPr>
          <w:highlight w:val="none"/>
          <w:lang w:val="es-PE"/>
        </w:rPr>
      </w:pPr>
      <w:r>
        <w:rPr>
          <w:rFonts w:ascii="Times New Roman" w:hAnsi="Times New Roman" w:eastAsia="Times New Roman"/>
          <w:sz w:val="24"/>
          <w:highlight w:val="none"/>
          <w:lang w:val="es-PE"/>
        </w:rPr>
        <w:t>4.1. La autenticación a Google Sheets se realiza con cuenta de servicio (client_secret.json). Las conexiones Oracle SISUD, MySQL y REPOCSEP operan vía JDBC y variables DB_* del proyecto Apache Hop. No se consignan contraseñas en este informe. El código fuente del proyecto ETL se encuentra en el repositorio institucional de la CSEP y se adjunta como parte del sustento de la Actividad a).</w:t>
      </w:r>
    </w:p>
    <w:p>
      <w:pPr>
        <w:spacing w:after="160" w:line="300" w:lineRule="auto"/>
        <w:ind w:firstLine="567"/>
        <w:jc w:val="both"/>
        <w:rPr>
          <w:highlight w:val="none"/>
        </w:rPr>
      </w:pPr>
      <w:r>
        <w:rPr>
          <w:rFonts w:ascii="Times New Roman" w:hAnsi="Times New Roman" w:eastAsia="Times New Roman"/>
          <w:sz w:val="24"/>
          <w:highlight w:val="none"/>
          <w:lang w:val="es-PE"/>
        </w:rPr>
        <w:t xml:space="preserve">5. Implementación del flujo ETL: Se implementó y ejecutó el proyecto técnico multa_etl, orquestado con Apache Hop mediante el workflow wf_staging.hwf. Cada corrida reinicia el staging H2 in-memory (mem:csep, puerto 9092), carga las fuentes a tablas STG_*, produce REPOCSEP.RPT_INFORME_SUPERVISION con Hop (carga 1:1) y consolida las fuentes de multas mediante la capa R (r/logica/consolidar_multas.R) en REPOCSEP.RPT_MULTA_COERCITIVA, mediante UNION con columna FUENTE, preservando la trazabilidad del origen. </w:t>
      </w:r>
      <w:r>
        <w:rPr>
          <w:rFonts w:ascii="Times New Roman" w:hAnsi="Times New Roman" w:eastAsia="Times New Roman"/>
          <w:sz w:val="24"/>
          <w:highlight w:val="none"/>
        </w:rPr>
        <w:t>La secuencia operativa es la siguiente: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954"/>
        <w:gridCol w:w="37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Paso</w:t>
            </w:r>
          </w:p>
        </w:tc>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Acción</w:t>
            </w:r>
          </w:p>
        </w:tc>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Resultado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1</w:t>
            </w:r>
          </w:p>
        </w:tc>
        <w:tc>
          <w:tcPr>
            <w:tcW w:w="3135" w:type="dxa"/>
          </w:tcPr>
          <w:p>
            <w:pPr>
              <w:spacing w:after="0" w:line="240" w:lineRule="auto"/>
              <w:rPr>
                <w:highlight w:val="none"/>
              </w:rPr>
            </w:pPr>
            <w:r>
              <w:rPr>
                <w:rFonts w:ascii="Times New Roman" w:hAnsi="Times New Roman" w:eastAsia="Times New Roman"/>
                <w:sz w:val="18"/>
                <w:highlight w:val="none"/>
              </w:rPr>
              <w:t>Reset H2 clean</w:t>
            </w:r>
          </w:p>
        </w:tc>
        <w:tc>
          <w:tcPr>
            <w:tcW w:w="3135" w:type="dxa"/>
          </w:tcPr>
          <w:p>
            <w:pPr>
              <w:spacing w:after="0" w:line="240" w:lineRule="auto"/>
              <w:rPr>
                <w:highlight w:val="none"/>
              </w:rPr>
            </w:pPr>
            <w:r>
              <w:rPr>
                <w:rFonts w:ascii="Times New Roman" w:hAnsi="Times New Roman" w:eastAsia="Times New Roman"/>
                <w:sz w:val="18"/>
                <w:highlight w:val="none"/>
              </w:rPr>
              <w:t>Stop + start del server in-memory y DDL (00_reset.sql + 01_schema.sql)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2</w:t>
            </w:r>
          </w:p>
        </w:tc>
        <w:tc>
          <w:tcPr>
            <w:tcW w:w="3135" w:type="dxa"/>
          </w:tcPr>
          <w:p>
            <w:pPr>
              <w:spacing w:after="0" w:line="240" w:lineRule="auto"/>
              <w:rPr>
                <w:highlight w:val="none"/>
              </w:rPr>
            </w:pPr>
            <w:r>
              <w:rPr>
                <w:rFonts w:ascii="Times New Roman" w:hAnsi="Times New Roman" w:eastAsia="Times New Roman"/>
                <w:sz w:val="18"/>
                <w:highlight w:val="none"/>
              </w:rPr>
              <w:t>load_sheets.hwf</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STG_GS1_MULTAS_COERCITIVAS, STG_GS1_ETAPAS, STG_GS2_MULTAS_COERCITIVAS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rPr>
                <w:highlight w:val="none"/>
              </w:rPr>
            </w:pPr>
            <w:r>
              <w:rPr>
                <w:rFonts w:ascii="Times New Roman" w:hAnsi="Times New Roman" w:eastAsia="Times New Roman"/>
                <w:sz w:val="18"/>
                <w:highlight w:val="none"/>
              </w:rPr>
              <w:t>3</w:t>
            </w:r>
          </w:p>
        </w:tc>
        <w:tc>
          <w:tcPr>
            <w:tcW w:w="3135" w:type="dxa"/>
          </w:tcPr>
          <w:p>
            <w:pPr>
              <w:spacing w:after="0" w:line="240" w:lineRule="auto"/>
              <w:rPr>
                <w:highlight w:val="none"/>
              </w:rPr>
            </w:pPr>
            <w:r>
              <w:rPr>
                <w:rFonts w:ascii="Times New Roman" w:hAnsi="Times New Roman" w:eastAsia="Times New Roman"/>
                <w:sz w:val="18"/>
                <w:highlight w:val="none"/>
              </w:rPr>
              <w:t>Pipeline Oracle (multas)</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SISUD.VW_MULTA_COERCITIVA → STG_ORA_VW_MULTA_COERCITIVA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4</w:t>
            </w:r>
          </w:p>
        </w:tc>
        <w:tc>
          <w:tcPr>
            <w:tcW w:w="3135" w:type="dxa"/>
          </w:tcPr>
          <w:p>
            <w:pPr>
              <w:spacing w:after="0" w:line="240" w:lineRule="auto"/>
              <w:rPr>
                <w:highlight w:val="none"/>
              </w:rPr>
            </w:pPr>
            <w:r>
              <w:rPr>
                <w:rFonts w:ascii="Times New Roman" w:hAnsi="Times New Roman" w:eastAsia="Times New Roman"/>
                <w:sz w:val="18"/>
                <w:highlight w:val="none"/>
              </w:rPr>
              <w:t>Pipeline Informes (STG)</w:t>
            </w:r>
          </w:p>
        </w:tc>
        <w:tc>
          <w:tcPr>
            <w:tcW w:w="3135" w:type="dxa"/>
          </w:tcPr>
          <w:p>
            <w:pPr>
              <w:spacing w:after="0" w:line="240" w:lineRule="auto"/>
              <w:rPr>
                <w:highlight w:val="none"/>
              </w:rPr>
            </w:pPr>
            <w:r>
              <w:rPr>
                <w:rFonts w:ascii="Times New Roman" w:hAnsi="Times New Roman" w:eastAsia="Times New Roman"/>
                <w:sz w:val="18"/>
                <w:highlight w:val="none"/>
              </w:rPr>
              <w:t>SISUD.CSEP_INFORMES_VIEW → STG_ORA_CSEP_INFORMES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5</w:t>
            </w:r>
          </w:p>
        </w:tc>
        <w:tc>
          <w:tcPr>
            <w:tcW w:w="3135" w:type="dxa"/>
          </w:tcPr>
          <w:p>
            <w:pPr>
              <w:spacing w:after="0" w:line="240" w:lineRule="auto"/>
              <w:rPr>
                <w:highlight w:val="none"/>
              </w:rPr>
            </w:pPr>
            <w:r>
              <w:rPr>
                <w:rFonts w:ascii="Times New Roman" w:hAnsi="Times New Roman" w:eastAsia="Times New Roman"/>
                <w:sz w:val="18"/>
                <w:highlight w:val="none"/>
              </w:rPr>
              <w:t>Pipeline MySQL</w:t>
            </w:r>
          </w:p>
        </w:tc>
        <w:tc>
          <w:tcPr>
            <w:tcW w:w="3135" w:type="dxa"/>
          </w:tcPr>
          <w:p>
            <w:pPr>
              <w:spacing w:after="0" w:line="240" w:lineRule="auto"/>
              <w:rPr>
                <w:highlight w:val="none"/>
              </w:rPr>
            </w:pPr>
            <w:r>
              <w:rPr>
                <w:rFonts w:ascii="Times New Roman" w:hAnsi="Times New Roman" w:eastAsia="Times New Roman"/>
                <w:sz w:val="18"/>
                <w:highlight w:val="none"/>
              </w:rPr>
              <w:t>gapps.T_MVC_MULTACOERCITIVA_MC → STG_MYSQL_T_MVC_MULTACOERCITIVA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6</w:t>
            </w:r>
          </w:p>
        </w:tc>
        <w:tc>
          <w:tcPr>
            <w:tcW w:w="3135" w:type="dxa"/>
          </w:tcPr>
          <w:p>
            <w:pPr>
              <w:spacing w:after="0" w:line="240" w:lineRule="auto"/>
              <w:rPr>
                <w:highlight w:val="none"/>
              </w:rPr>
            </w:pPr>
            <w:r>
              <w:rPr>
                <w:rFonts w:ascii="Times New Roman" w:hAnsi="Times New Roman" w:eastAsia="Times New Roman"/>
                <w:sz w:val="18"/>
                <w:highlight w:val="none"/>
              </w:rPr>
              <w:t>Ensure RPT Informes DDL</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Crea RPT_INFORME_SUPERVISION en REPOCSEP si no existe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rPr>
                <w:highlight w:val="none"/>
              </w:rPr>
            </w:pPr>
            <w:r>
              <w:rPr>
                <w:rFonts w:ascii="Times New Roman" w:hAnsi="Times New Roman" w:eastAsia="Times New Roman"/>
                <w:sz w:val="18"/>
                <w:highlight w:val="none"/>
              </w:rPr>
              <w:t>7</w:t>
            </w:r>
          </w:p>
        </w:tc>
        <w:tc>
          <w:tcPr>
            <w:tcW w:w="3135" w:type="dxa"/>
          </w:tcPr>
          <w:p>
            <w:pPr>
              <w:spacing w:after="0" w:line="240" w:lineRule="auto"/>
              <w:rPr>
                <w:highlight w:val="none"/>
              </w:rPr>
            </w:pPr>
            <w:r>
              <w:rPr>
                <w:rFonts w:ascii="Times New Roman" w:hAnsi="Times New Roman" w:eastAsia="Times New Roman"/>
                <w:sz w:val="18"/>
                <w:highlight w:val="none"/>
              </w:rPr>
              <w:t>Pipeline RPT Informes</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Carga 1:1 a RPT_INFORME_SUPERVISION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8</w:t>
            </w:r>
          </w:p>
        </w:tc>
        <w:tc>
          <w:tcPr>
            <w:tcW w:w="3135" w:type="dxa"/>
          </w:tcPr>
          <w:p>
            <w:pPr>
              <w:spacing w:after="0" w:line="240" w:lineRule="auto"/>
              <w:rPr>
                <w:highlight w:val="none"/>
              </w:rPr>
            </w:pPr>
            <w:r>
              <w:rPr>
                <w:rFonts w:ascii="Times New Roman" w:hAnsi="Times New Roman" w:eastAsia="Times New Roman"/>
                <w:sz w:val="18"/>
                <w:highlight w:val="none"/>
              </w:rPr>
              <w:t>Run R</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UNION de STG de multas → RPT_MULTA_COERCITIVA (TRUNCATE + INSERT)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9</w:t>
            </w:r>
          </w:p>
        </w:tc>
        <w:tc>
          <w:tcPr>
            <w:tcW w:w="3135" w:type="dxa"/>
          </w:tcPr>
          <w:p>
            <w:pPr>
              <w:spacing w:after="0" w:line="240" w:lineRule="auto"/>
              <w:rPr>
                <w:highlight w:val="none"/>
              </w:rPr>
            </w:pPr>
            <w:r>
              <w:rPr>
                <w:rFonts w:ascii="Times New Roman" w:hAnsi="Times New Roman" w:eastAsia="Times New Roman"/>
                <w:sz w:val="18"/>
                <w:highlight w:val="none"/>
              </w:rPr>
              <w:t>Success</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Fin de corrida; H2 se limpia al detener el server</w:t>
            </w:r>
          </w:p>
        </w:tc>
      </w:tr>
    </w:tbl>
    <w:p>
      <w:pPr>
        <w:spacing w:after="80"/>
        <w:rPr>
          <w:highlight w:val="none"/>
          <w:lang w:val="es-PE"/>
        </w:rPr>
      </w:pPr>
    </w:p>
    <w:p>
      <w:pPr>
        <w:jc w:val="center"/>
        <w:rPr>
          <w:rFonts w:ascii="Times New Roman" w:hAnsi="Times New Roman" w:eastAsia="Times New Roman"/>
          <w:i/>
          <w:sz w:val="20"/>
          <w:highlight w:val="none"/>
          <w:lang w:val="es-PE"/>
        </w:rPr>
      </w:pPr>
      <w:r>
        <w:rPr>
          <w:rFonts w:ascii="Times New Roman" w:hAnsi="Times New Roman" w:eastAsia="Times New Roman"/>
          <w:i/>
          <w:sz w:val="20"/>
          <w:highlight w:val="none"/>
          <w:lang w:val="es-PE"/>
        </w:rPr>
        <w:t>Cuadro 2. Cadena de orquestación del workflow</w:t>
      </w:r>
    </w:p>
    <w:p>
      <w:pPr>
        <w:jc w:val="center"/>
        <w:rPr>
          <w:rFonts w:ascii="Times New Roman" w:hAnsi="Times New Roman" w:eastAsia="Times New Roman"/>
          <w:i/>
          <w:sz w:val="20"/>
          <w:highlight w:val="none"/>
          <w:lang w:val="es-PE"/>
        </w:rPr>
      </w:pPr>
    </w:p>
    <w:p>
      <w:pPr>
        <w:spacing w:after="160" w:line="300" w:lineRule="auto"/>
        <w:ind w:firstLine="567"/>
        <w:jc w:val="both"/>
        <w:rPr>
          <w:highlight w:val="none"/>
          <w:lang w:val="es-PE"/>
        </w:rPr>
      </w:pPr>
      <w:r>
        <w:rPr>
          <w:rFonts w:ascii="Times New Roman" w:hAnsi="Times New Roman" w:eastAsia="Times New Roman"/>
          <w:sz w:val="24"/>
          <w:highlight w:val="none"/>
          <w:lang w:val="es-PE"/>
        </w:rPr>
        <w:t>5.1. El siguiente gráfico resume el flujo consolidado de fuentes hacia el staging H2 y los dos hechos analíticos en REPOCSEP:</w:t>
      </w:r>
    </w:p>
    <w:p>
      <w:pPr>
        <w:spacing w:before="200" w:after="80"/>
        <w:jc w:val="center"/>
        <w:rPr>
          <w:highlight w:val="none"/>
        </w:rPr>
      </w:pPr>
      <w:r>
        <w:rPr>
          <w:highlight w:val="none"/>
        </w:rPr>
        <w:drawing>
          <wp:inline distT="0" distB="0" distL="114300" distR="114300">
            <wp:extent cx="5669280" cy="271843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2718941"/>
                    </a:xfrm>
                    <a:prstGeom prst="rect">
                      <a:avLst/>
                    </a:prstGeom>
                  </pic:spPr>
                </pic:pic>
              </a:graphicData>
            </a:graphic>
          </wp:inline>
        </w:drawing>
      </w:r>
    </w:p>
    <w:p>
      <w:pPr>
        <w:spacing w:before="40" w:after="240"/>
        <w:jc w:val="center"/>
        <w:rPr>
          <w:highlight w:val="none"/>
          <w:lang w:val="es-PE"/>
        </w:rPr>
      </w:pPr>
      <w:r>
        <w:rPr>
          <w:rFonts w:ascii="Times New Roman" w:hAnsi="Times New Roman" w:eastAsia="Times New Roman"/>
          <w:i/>
          <w:sz w:val="20"/>
          <w:highlight w:val="none"/>
          <w:lang w:val="es-PE"/>
        </w:rPr>
        <w:t>Figura . Flujo ETL consolidado: fuentes institucionales → H2 STG_* → dos RPT en REPOCSEP.</w:t>
      </w:r>
    </w:p>
    <w:p>
      <w:pPr>
        <w:spacing w:after="160" w:line="300" w:lineRule="auto"/>
        <w:ind w:firstLine="567"/>
        <w:jc w:val="both"/>
        <w:rPr>
          <w:highlight w:val="none"/>
          <w:lang w:val="es-PE"/>
        </w:rPr>
      </w:pPr>
      <w:r>
        <w:rPr>
          <w:rFonts w:ascii="Times New Roman" w:hAnsi="Times New Roman" w:eastAsia="Times New Roman"/>
          <w:sz w:val="24"/>
          <w:highlight w:val="none"/>
          <w:lang w:val="es-PE"/>
        </w:rPr>
        <w:t>5.2. La arquitectura detallada del proyecto multa_etl —con diferenciación explícita entre la ruta R (multas) y la ruta Hop-only (informes)— se muestra en la Figura 5:</w:t>
      </w:r>
    </w:p>
    <w:p>
      <w:pPr>
        <w:spacing w:before="200" w:after="80"/>
        <w:jc w:val="center"/>
        <w:rPr>
          <w:highlight w:val="none"/>
        </w:rPr>
      </w:pPr>
      <w:r>
        <w:rPr>
          <w:highlight w:val="none"/>
        </w:rPr>
        <w:drawing>
          <wp:inline distT="0" distB="0" distL="114300" distR="114300">
            <wp:extent cx="5760720" cy="3636010"/>
            <wp:effectExtent l="0" t="0" r="1143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3636085"/>
                    </a:xfrm>
                    <a:prstGeom prst="rect">
                      <a:avLst/>
                    </a:prstGeom>
                  </pic:spPr>
                </pic:pic>
              </a:graphicData>
            </a:graphic>
          </wp:inline>
        </w:drawing>
      </w:r>
    </w:p>
    <w:p>
      <w:pPr>
        <w:spacing w:before="40" w:after="240"/>
        <w:jc w:val="center"/>
        <w:rPr>
          <w:highlight w:val="none"/>
        </w:rPr>
      </w:pPr>
      <w:r>
        <w:rPr>
          <w:rFonts w:ascii="Times New Roman" w:hAnsi="Times New Roman" w:eastAsia="Times New Roman"/>
          <w:i/>
          <w:sz w:val="20"/>
          <w:highlight w:val="none"/>
        </w:rPr>
        <w:t>Figura . Arquitectura ETL de multa_etl: fuentes → Apache Hop (wf_staging.hwf) → H2 STG_* → RPT_MULTA_COERCITIVA (R) y RPT_INFORME_SUPERVISION (Hop-only).</w:t>
      </w:r>
    </w:p>
    <w:p>
      <w:pPr>
        <w:spacing w:after="160" w:line="300" w:lineRule="auto"/>
        <w:ind w:firstLine="567"/>
        <w:jc w:val="both"/>
        <w:rPr>
          <w:highlight w:val="none"/>
          <w:lang w:val="es-PE"/>
        </w:rPr>
      </w:pPr>
      <w:r>
        <w:rPr>
          <w:rFonts w:ascii="Times New Roman" w:hAnsi="Times New Roman" w:eastAsia="Times New Roman"/>
          <w:sz w:val="24"/>
          <w:highlight w:val="none"/>
          <w:lang w:val="es-PE"/>
        </w:rPr>
        <w:t>6. Criterio de consolidación: Las multas se consolidaron por apilado (UNION) y no por un INNER JOIN entre planillas y SISUD, porque COD_MA (seguimiento en Sheets) y CUM (núcleo SISUD) no son el mismo identificador de negocio. Un cruce prematuro habría descartado o distorsionado el universo. Los informes, al proceder de una sola vista con grano único (IDACTIVIDAD), se cargaron 1:1 hacia RPT_INFORME_SUPERVISION, sin pasar por la capa R. De este modo no se pierde información ni se introduce un cruce inválido que afectaría la evaluación posterior de efectividad (literal f).</w:t>
      </w:r>
    </w:p>
    <w:p>
      <w:pPr>
        <w:spacing w:after="160" w:line="300" w:lineRule="auto"/>
        <w:ind w:firstLine="567"/>
        <w:jc w:val="both"/>
        <w:rPr>
          <w:highlight w:val="none"/>
          <w:lang w:val="es-PE"/>
        </w:rPr>
      </w:pPr>
      <w:r>
        <w:rPr>
          <w:rFonts w:ascii="Times New Roman" w:hAnsi="Times New Roman" w:eastAsia="Times New Roman"/>
          <w:sz w:val="24"/>
          <w:highlight w:val="none"/>
          <w:lang w:val="es-PE"/>
        </w:rPr>
        <w:t>6.1. En consecuencia, el Primer Entregable materializa dos hechos analíticos de grano distinto en Oracle REPOCSEP, que no deben mezclarse en un solo recuento: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7"/>
        <w:gridCol w:w="2314"/>
        <w:gridCol w:w="2287"/>
        <w:gridCol w:w="2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Tabla RPT</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Grano</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Motor de carga</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Trazabilidad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RPT_MULTA_COERCITIVA</w:t>
            </w:r>
          </w:p>
        </w:tc>
        <w:tc>
          <w:tcPr>
            <w:tcW w:w="2351" w:type="dxa"/>
          </w:tcPr>
          <w:p>
            <w:pPr>
              <w:spacing w:after="0" w:line="240" w:lineRule="auto"/>
              <w:rPr>
                <w:highlight w:val="none"/>
              </w:rPr>
            </w:pPr>
            <w:r>
              <w:rPr>
                <w:rFonts w:ascii="Times New Roman" w:hAnsi="Times New Roman" w:eastAsia="Times New Roman"/>
                <w:sz w:val="18"/>
                <w:highlight w:val="none"/>
              </w:rPr>
              <w:t>1 fila por origen (FUENTE)</w:t>
            </w:r>
          </w:p>
        </w:tc>
        <w:tc>
          <w:tcPr>
            <w:tcW w:w="2351" w:type="dxa"/>
          </w:tcPr>
          <w:p>
            <w:pPr>
              <w:spacing w:after="0" w:line="240" w:lineRule="auto"/>
              <w:rPr>
                <w:highlight w:val="none"/>
              </w:rPr>
            </w:pPr>
            <w:r>
              <w:rPr>
                <w:rFonts w:ascii="Times New Roman" w:hAnsi="Times New Roman" w:eastAsia="Times New Roman"/>
                <w:sz w:val="18"/>
                <w:highlight w:val="none"/>
              </w:rPr>
              <w:t>Hop STG + R (UNION)</w:t>
            </w:r>
          </w:p>
        </w:tc>
        <w:tc>
          <w:tcPr>
            <w:tcW w:w="2351" w:type="dxa"/>
          </w:tcPr>
          <w:p>
            <w:pPr>
              <w:spacing w:after="0" w:line="240" w:lineRule="auto"/>
              <w:rPr>
                <w:highlight w:val="none"/>
              </w:rPr>
            </w:pPr>
            <w:r>
              <w:rPr>
                <w:rFonts w:ascii="Times New Roman" w:hAnsi="Times New Roman" w:eastAsia="Times New Roman"/>
                <w:sz w:val="18"/>
                <w:highlight w:val="none"/>
              </w:rPr>
              <w:t>FUENTE + FECHA_CARGA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RPT_INFORME_SUPERVISION</w:t>
            </w:r>
          </w:p>
        </w:tc>
        <w:tc>
          <w:tcPr>
            <w:tcW w:w="2351" w:type="dxa"/>
          </w:tcPr>
          <w:p>
            <w:pPr>
              <w:spacing w:after="0" w:line="240" w:lineRule="auto"/>
              <w:rPr>
                <w:highlight w:val="none"/>
              </w:rPr>
            </w:pPr>
            <w:r>
              <w:rPr>
                <w:rFonts w:ascii="Times New Roman" w:hAnsi="Times New Roman" w:eastAsia="Times New Roman"/>
                <w:sz w:val="18"/>
                <w:highlight w:val="none"/>
              </w:rPr>
              <w:t>1 actividad / informe (IDACTIVIDAD)</w:t>
            </w:r>
          </w:p>
        </w:tc>
        <w:tc>
          <w:tcPr>
            <w:tcW w:w="2351" w:type="dxa"/>
          </w:tcPr>
          <w:p>
            <w:pPr>
              <w:spacing w:after="0" w:line="240" w:lineRule="auto"/>
              <w:rPr>
                <w:highlight w:val="none"/>
              </w:rPr>
            </w:pPr>
            <w:r>
              <w:rPr>
                <w:rFonts w:ascii="Times New Roman" w:hAnsi="Times New Roman" w:eastAsia="Times New Roman"/>
                <w:sz w:val="18"/>
                <w:highlight w:val="none"/>
              </w:rPr>
              <w:t>Hop only</w:t>
            </w:r>
          </w:p>
        </w:tc>
        <w:tc>
          <w:tcPr>
            <w:tcW w:w="2351" w:type="dxa"/>
          </w:tcPr>
          <w:p>
            <w:pPr>
              <w:spacing w:after="0" w:line="240" w:lineRule="auto"/>
              <w:rPr>
                <w:highlight w:val="none"/>
              </w:rPr>
            </w:pPr>
            <w:r>
              <w:rPr>
                <w:rFonts w:ascii="Times New Roman" w:hAnsi="Times New Roman" w:eastAsia="Times New Roman"/>
                <w:sz w:val="18"/>
                <w:highlight w:val="none"/>
              </w:rPr>
              <w:t>FECHA_CARGA</w:t>
            </w:r>
          </w:p>
        </w:tc>
      </w:tr>
    </w:tbl>
    <w:p>
      <w:pPr>
        <w:spacing w:after="80"/>
        <w:rPr>
          <w:highlight w:val="none"/>
        </w:rPr>
      </w:pPr>
    </w:p>
    <w:p>
      <w:pPr>
        <w:jc w:val="center"/>
        <w:rPr>
          <w:highlight w:val="none"/>
          <w:lang w:val="es-PE"/>
        </w:rPr>
      </w:pPr>
      <w:r>
        <w:rPr>
          <w:rFonts w:ascii="Times New Roman" w:hAnsi="Times New Roman" w:eastAsia="Times New Roman"/>
          <w:i/>
          <w:sz w:val="20"/>
          <w:highlight w:val="none"/>
          <w:lang w:val="es-PE"/>
        </w:rPr>
        <w:t>Cuadro  Hechos analíticos producidos en REPOCSEP (no mezclar granos).</w:t>
      </w:r>
    </w:p>
    <w:p>
      <w:pPr>
        <w:spacing w:after="160" w:line="300" w:lineRule="auto"/>
        <w:ind w:firstLine="567"/>
        <w:jc w:val="both"/>
        <w:rPr>
          <w:highlight w:val="none"/>
        </w:rPr>
      </w:pPr>
      <w:r>
        <w:rPr>
          <w:rFonts w:ascii="Times New Roman" w:hAnsi="Times New Roman" w:eastAsia="Times New Roman"/>
          <w:sz w:val="24"/>
          <w:highlight w:val="none"/>
          <w:lang w:val="es-PE"/>
        </w:rPr>
        <w:t xml:space="preserve">7. Resultado de la consolidación: En la corrida de referencia del 11 de agosto de 2026, RPT_MULTA_COERCITIVA registró 626 filas. </w:t>
      </w:r>
      <w:r>
        <w:rPr>
          <w:rFonts w:ascii="Times New Roman" w:hAnsi="Times New Roman" w:eastAsia="Times New Roman"/>
          <w:sz w:val="24"/>
          <w:highlight w:val="none"/>
        </w:rPr>
        <w:t>El detalle por fuente es el siguiente: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3"/>
        <w:gridCol w:w="3097"/>
        <w:gridCol w:w="3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Fuente / tabla staging</w:t>
            </w:r>
          </w:p>
        </w:tc>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Filas</w:t>
            </w:r>
          </w:p>
        </w:tc>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Marca FUENTE / destino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rPr>
                <w:highlight w:val="none"/>
              </w:rPr>
            </w:pPr>
            <w:r>
              <w:rPr>
                <w:rFonts w:ascii="Times New Roman" w:hAnsi="Times New Roman" w:eastAsia="Times New Roman"/>
                <w:sz w:val="18"/>
                <w:highlight w:val="none"/>
              </w:rPr>
              <w:t>GS1 Multas coercitivas</w:t>
            </w:r>
          </w:p>
        </w:tc>
        <w:tc>
          <w:tcPr>
            <w:tcW w:w="3135" w:type="dxa"/>
          </w:tcPr>
          <w:p>
            <w:pPr>
              <w:spacing w:after="0" w:line="240" w:lineRule="auto"/>
              <w:rPr>
                <w:highlight w:val="none"/>
              </w:rPr>
            </w:pPr>
            <w:r>
              <w:rPr>
                <w:rFonts w:ascii="Times New Roman" w:hAnsi="Times New Roman" w:eastAsia="Times New Roman"/>
                <w:sz w:val="18"/>
                <w:highlight w:val="none"/>
              </w:rPr>
              <w:t>16</w:t>
            </w:r>
          </w:p>
        </w:tc>
        <w:tc>
          <w:tcPr>
            <w:tcW w:w="3135" w:type="dxa"/>
          </w:tcPr>
          <w:p>
            <w:pPr>
              <w:spacing w:after="0" w:line="240" w:lineRule="auto"/>
              <w:rPr>
                <w:highlight w:val="none"/>
              </w:rPr>
            </w:pPr>
            <w:r>
              <w:rPr>
                <w:rFonts w:ascii="Times New Roman" w:hAnsi="Times New Roman" w:eastAsia="Times New Roman"/>
                <w:sz w:val="18"/>
                <w:highlight w:val="none"/>
              </w:rPr>
              <w:t>GS1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GS1 Etapas</w:t>
            </w:r>
          </w:p>
        </w:tc>
        <w:tc>
          <w:tcPr>
            <w:tcW w:w="3135" w:type="dxa"/>
          </w:tcPr>
          <w:p>
            <w:pPr>
              <w:spacing w:after="0" w:line="240" w:lineRule="auto"/>
              <w:rPr>
                <w:highlight w:val="none"/>
              </w:rPr>
            </w:pPr>
            <w:r>
              <w:rPr>
                <w:rFonts w:ascii="Times New Roman" w:hAnsi="Times New Roman" w:eastAsia="Times New Roman"/>
                <w:sz w:val="18"/>
                <w:highlight w:val="none"/>
              </w:rPr>
              <w:t>55</w:t>
            </w:r>
          </w:p>
        </w:tc>
        <w:tc>
          <w:tcPr>
            <w:tcW w:w="3135" w:type="dxa"/>
          </w:tcPr>
          <w:p>
            <w:pPr>
              <w:spacing w:after="0" w:line="240" w:lineRule="auto"/>
              <w:rPr>
                <w:highlight w:val="none"/>
              </w:rPr>
            </w:pPr>
            <w:r>
              <w:rPr>
                <w:rFonts w:ascii="Times New Roman" w:hAnsi="Times New Roman" w:eastAsia="Times New Roman"/>
                <w:sz w:val="18"/>
                <w:highlight w:val="none"/>
              </w:rPr>
              <w:t>GS_ETAPA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GS2 Multas (OD Lambayeque / CRES)</w:t>
            </w:r>
          </w:p>
        </w:tc>
        <w:tc>
          <w:tcPr>
            <w:tcW w:w="3135" w:type="dxa"/>
          </w:tcPr>
          <w:p>
            <w:pPr>
              <w:spacing w:after="0" w:line="240" w:lineRule="auto"/>
              <w:rPr>
                <w:highlight w:val="none"/>
              </w:rPr>
            </w:pPr>
            <w:r>
              <w:rPr>
                <w:rFonts w:ascii="Times New Roman" w:hAnsi="Times New Roman" w:eastAsia="Times New Roman"/>
                <w:sz w:val="18"/>
                <w:highlight w:val="none"/>
              </w:rPr>
              <w:t>21</w:t>
            </w:r>
          </w:p>
        </w:tc>
        <w:tc>
          <w:tcPr>
            <w:tcW w:w="3135" w:type="dxa"/>
          </w:tcPr>
          <w:p>
            <w:pPr>
              <w:spacing w:after="0" w:line="240" w:lineRule="auto"/>
              <w:rPr>
                <w:highlight w:val="none"/>
              </w:rPr>
            </w:pPr>
            <w:r>
              <w:rPr>
                <w:rFonts w:ascii="Times New Roman" w:hAnsi="Times New Roman" w:eastAsia="Times New Roman"/>
                <w:sz w:val="18"/>
                <w:highlight w:val="none"/>
              </w:rPr>
              <w:t>GS2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Oracle VW_MULTA_COERCITIVA</w:t>
            </w:r>
          </w:p>
        </w:tc>
        <w:tc>
          <w:tcPr>
            <w:tcW w:w="3135" w:type="dxa"/>
          </w:tcPr>
          <w:p>
            <w:pPr>
              <w:spacing w:after="0" w:line="240" w:lineRule="auto"/>
              <w:rPr>
                <w:highlight w:val="none"/>
              </w:rPr>
            </w:pPr>
            <w:r>
              <w:rPr>
                <w:rFonts w:ascii="Times New Roman" w:hAnsi="Times New Roman" w:eastAsia="Times New Roman"/>
                <w:sz w:val="18"/>
                <w:highlight w:val="none"/>
              </w:rPr>
              <w:t>530</w:t>
            </w:r>
          </w:p>
        </w:tc>
        <w:tc>
          <w:tcPr>
            <w:tcW w:w="3135" w:type="dxa"/>
          </w:tcPr>
          <w:p>
            <w:pPr>
              <w:spacing w:after="0" w:line="240" w:lineRule="auto"/>
              <w:rPr>
                <w:highlight w:val="none"/>
              </w:rPr>
            </w:pPr>
            <w:r>
              <w:rPr>
                <w:rFonts w:ascii="Times New Roman" w:hAnsi="Times New Roman" w:eastAsia="Times New Roman"/>
                <w:sz w:val="18"/>
                <w:highlight w:val="none"/>
              </w:rPr>
              <w:t>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MySQL T_MVC_MULTACOERCITIVA_MC</w:t>
            </w:r>
          </w:p>
        </w:tc>
        <w:tc>
          <w:tcPr>
            <w:tcW w:w="3135" w:type="dxa"/>
          </w:tcPr>
          <w:p>
            <w:pPr>
              <w:spacing w:after="0" w:line="240" w:lineRule="auto"/>
              <w:rPr>
                <w:highlight w:val="none"/>
              </w:rPr>
            </w:pPr>
            <w:r>
              <w:rPr>
                <w:rFonts w:ascii="Times New Roman" w:hAnsi="Times New Roman" w:eastAsia="Times New Roman"/>
                <w:sz w:val="18"/>
                <w:highlight w:val="none"/>
              </w:rPr>
              <w:t>4</w:t>
            </w:r>
          </w:p>
        </w:tc>
        <w:tc>
          <w:tcPr>
            <w:tcW w:w="3135" w:type="dxa"/>
          </w:tcPr>
          <w:p>
            <w:pPr>
              <w:spacing w:after="0" w:line="240" w:lineRule="auto"/>
              <w:rPr>
                <w:highlight w:val="none"/>
              </w:rPr>
            </w:pPr>
            <w:r>
              <w:rPr>
                <w:rFonts w:ascii="Times New Roman" w:hAnsi="Times New Roman" w:eastAsia="Times New Roman"/>
                <w:sz w:val="18"/>
                <w:highlight w:val="none"/>
              </w:rPr>
              <w:t>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rPr>
            </w:pPr>
            <w:r>
              <w:rPr>
                <w:rFonts w:ascii="Times New Roman" w:hAnsi="Times New Roman" w:eastAsia="Times New Roman"/>
                <w:sz w:val="18"/>
                <w:highlight w:val="none"/>
              </w:rPr>
              <w:t>Total UNION</w:t>
            </w:r>
          </w:p>
        </w:tc>
        <w:tc>
          <w:tcPr>
            <w:tcW w:w="3135" w:type="dxa"/>
          </w:tcPr>
          <w:p>
            <w:pPr>
              <w:spacing w:after="0" w:line="240" w:lineRule="auto"/>
              <w:rPr>
                <w:highlight w:val="none"/>
              </w:rPr>
            </w:pPr>
            <w:r>
              <w:rPr>
                <w:rFonts w:ascii="Times New Roman" w:hAnsi="Times New Roman" w:eastAsia="Times New Roman"/>
                <w:sz w:val="18"/>
                <w:highlight w:val="none"/>
              </w:rPr>
              <w:t>626</w:t>
            </w:r>
          </w:p>
        </w:tc>
        <w:tc>
          <w:tcPr>
            <w:tcW w:w="3135" w:type="dxa"/>
          </w:tcPr>
          <w:p>
            <w:pPr>
              <w:spacing w:after="0" w:line="240" w:lineRule="auto"/>
              <w:rPr>
                <w:highlight w:val="none"/>
              </w:rPr>
            </w:pPr>
            <w:r>
              <w:rPr>
                <w:rFonts w:ascii="Times New Roman" w:hAnsi="Times New Roman" w:eastAsia="Times New Roman"/>
                <w:sz w:val="18"/>
                <w:highlight w:val="none"/>
              </w:rPr>
              <w:t>REPOCSEP.RPT_MULTA_COERCITIVA</w:t>
            </w:r>
          </w:p>
        </w:tc>
      </w:tr>
    </w:tbl>
    <w:p>
      <w:pPr>
        <w:spacing w:after="80"/>
        <w:rPr>
          <w:highlight w:val="none"/>
        </w:rPr>
      </w:pPr>
    </w:p>
    <w:p>
      <w:pPr>
        <w:jc w:val="center"/>
        <w:rPr>
          <w:highlight w:val="none"/>
          <w:lang w:val="es-PE"/>
        </w:rPr>
      </w:pPr>
      <w:r>
        <w:rPr>
          <w:rFonts w:ascii="Times New Roman" w:hAnsi="Times New Roman" w:eastAsia="Times New Roman"/>
          <w:i/>
          <w:sz w:val="20"/>
          <w:highlight w:val="none"/>
          <w:lang w:val="es-PE"/>
        </w:rPr>
        <w:t>Cuadro . Volúmenes de multas en la corrida de referencia (UNION).</w:t>
      </w:r>
    </w:p>
    <w:p>
      <w:pPr>
        <w:spacing w:after="160" w:line="300" w:lineRule="auto"/>
        <w:ind w:firstLine="567"/>
        <w:jc w:val="both"/>
        <w:rPr>
          <w:highlight w:val="none"/>
          <w:lang w:val="es-PE"/>
        </w:rPr>
      </w:pPr>
      <w:r>
        <w:rPr>
          <w:rFonts w:ascii="Times New Roman" w:hAnsi="Times New Roman" w:eastAsia="Times New Roman"/>
          <w:sz w:val="24"/>
          <w:highlight w:val="none"/>
          <w:lang w:val="es-PE"/>
        </w:rPr>
        <w:t>7.1. La distribución de filas por FUENTE se visualiza en la Figura 7 (también incluida en el Anexo C-2). Se observa el predominio del universo SISUD (ORA = 530) frente a las planillas de seguimiento y a la muestra operativa MySQL:</w:t>
      </w:r>
    </w:p>
    <w:p>
      <w:pPr>
        <w:spacing w:before="200" w:after="80"/>
        <w:jc w:val="center"/>
        <w:rPr>
          <w:highlight w:val="none"/>
        </w:rPr>
      </w:pPr>
      <w:r>
        <w:rPr>
          <w:highlight w:val="none"/>
        </w:rPr>
        <w:drawing>
          <wp:inline distT="0" distB="0" distL="114300" distR="114300">
            <wp:extent cx="5669280" cy="2869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869635"/>
                    </a:xfrm>
                    <a:prstGeom prst="rect">
                      <a:avLst/>
                    </a:prstGeom>
                  </pic:spPr>
                </pic:pic>
              </a:graphicData>
            </a:graphic>
          </wp:inline>
        </w:drawing>
      </w:r>
    </w:p>
    <w:p>
      <w:pPr>
        <w:spacing w:before="40" w:after="240"/>
        <w:jc w:val="center"/>
        <w:rPr>
          <w:highlight w:val="none"/>
          <w:lang w:val="es-PE"/>
        </w:rPr>
      </w:pPr>
      <w:r>
        <w:rPr>
          <w:rFonts w:ascii="Times New Roman" w:hAnsi="Times New Roman" w:eastAsia="Times New Roman"/>
          <w:i/>
          <w:sz w:val="20"/>
          <w:highlight w:val="none"/>
          <w:lang w:val="es-PE"/>
        </w:rPr>
        <w:t>Figura  Distribución de filas por FUENTE en RPT_MULTA_COERCITIVA (corrida 11/08/2026; total = 626).</w:t>
      </w:r>
    </w:p>
    <w:p>
      <w:pPr>
        <w:spacing w:after="160" w:line="300" w:lineRule="auto"/>
        <w:ind w:firstLine="567"/>
        <w:jc w:val="both"/>
        <w:rPr>
          <w:highlight w:val="none"/>
          <w:lang w:val="es-PE"/>
        </w:rPr>
      </w:pPr>
      <w:r>
        <w:rPr>
          <w:rFonts w:ascii="Times New Roman" w:hAnsi="Times New Roman" w:eastAsia="Times New Roman"/>
          <w:sz w:val="24"/>
          <w:highlight w:val="none"/>
          <w:lang w:val="es-PE"/>
        </w:rPr>
        <w:t>7.2. La tabla RPT_INFORME_SUPERVISION se cargó desde CSEP_INFORMES_VIEW. El volumen exacto de filas de informes se confirma en la corrida de validación del entorno Windows (Play de wf_staging.hwf). El archivo de ejemplo bajo docs/input_examples/ se usó únicamente como plantilla de mapeo de columnas, no como fuente productiva.</w:t>
      </w:r>
    </w:p>
    <w:p>
      <w:pPr>
        <w:spacing w:after="160" w:line="300" w:lineRule="auto"/>
        <w:ind w:firstLine="567"/>
        <w:jc w:val="both"/>
        <w:rPr>
          <w:highlight w:val="none"/>
          <w:lang w:val="es-PE"/>
        </w:rPr>
      </w:pPr>
      <w:r>
        <w:rPr>
          <w:rFonts w:ascii="Times New Roman" w:hAnsi="Times New Roman" w:eastAsia="Times New Roman"/>
          <w:sz w:val="24"/>
          <w:highlight w:val="none"/>
          <w:lang w:val="es-PE"/>
        </w:rPr>
        <w:t>8. Sustento de la actividad: Como sustento de la Actividad a) del presente informe, se han elaborado el Anexo A-1: “Inventario de fuentes y artefactos del proyecto multa_etl” y el Anexo A-2: “Evidencias gráficas del flujo ETL (Figuras 1, 2 y 5)”, correspondientes a la integración de fuentes y a la orquestación del workflow. Dichos anexos se encuentran en la carpeta “Actividad A” del adjunto “Anexos Informe 1”.</w:t>
      </w:r>
    </w:p>
    <w:p>
      <w:pPr>
        <w:spacing w:before="240" w:after="160" w:line="300" w:lineRule="auto"/>
        <w:jc w:val="both"/>
        <w:rPr>
          <w:highlight w:val="none"/>
          <w:lang w:val="es-PE"/>
        </w:rPr>
      </w:pPr>
      <w:r>
        <w:rPr>
          <w:rFonts w:ascii="Times New Roman" w:hAnsi="Times New Roman" w:eastAsia="Times New Roman"/>
          <w:b/>
          <w:sz w:val="24"/>
          <w:highlight w:val="none"/>
          <w:lang w:val="es-PE"/>
        </w:rPr>
        <w:t>b) Revisar la estructura y contenido de las bases de datos disponibles, verificando la correspondencia entre campos, variables, criterios de clasificación, periodos de análisis e indicadores vinculados a las estrategias de promoción del cumplimiento contenidas en los informes de supervisión y multas coercitivas.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9. Revisión de grano y llaves naturales: Se documentó el grano de cada base, a fin de evitar mezclar universos heterogéneos en indicadores posteriores: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Fuente</w:t>
            </w:r>
          </w:p>
        </w:tc>
        <w:tc>
          <w:tcPr>
            <w:tcW w:w="2351" w:type="dxa"/>
            <w:shd w:val="clear" w:color="auto" w:fill="1F4E79"/>
          </w:tcPr>
          <w:p>
            <w:pPr>
              <w:spacing w:after="0" w:line="240" w:lineRule="auto"/>
              <w:jc w:val="center"/>
              <w:rPr>
                <w:highlight w:val="none"/>
                <w:lang w:val="es-PE"/>
              </w:rPr>
            </w:pPr>
            <w:r>
              <w:rPr>
                <w:rFonts w:ascii="Times New Roman" w:hAnsi="Times New Roman" w:eastAsia="Times New Roman"/>
                <w:b/>
                <w:color w:val="FFFFFF"/>
                <w:sz w:val="18"/>
                <w:highlight w:val="none"/>
                <w:lang w:val="es-PE"/>
              </w:rPr>
              <w:t>Grano (una fila equivale a…)</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Llave natural</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Observación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GS1 / GS2 Multas</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Medida/multa en seguimiento de planilla</w:t>
            </w:r>
          </w:p>
        </w:tc>
        <w:tc>
          <w:tcPr>
            <w:tcW w:w="2351" w:type="dxa"/>
          </w:tcPr>
          <w:p>
            <w:pPr>
              <w:spacing w:after="0" w:line="240" w:lineRule="auto"/>
              <w:rPr>
                <w:highlight w:val="none"/>
              </w:rPr>
            </w:pPr>
            <w:r>
              <w:rPr>
                <w:rFonts w:ascii="Times New Roman" w:hAnsi="Times New Roman" w:eastAsia="Times New Roman"/>
                <w:sz w:val="18"/>
                <w:highlight w:val="none"/>
              </w:rPr>
              <w:t>COD_MA</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GS1 y GS2 no se solapan (ODs distintas)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GS1 Etapas</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Etapa de un proyecto de multa</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COD_PROY_MC + NRO_ETAPA_MC</w:t>
            </w:r>
          </w:p>
        </w:tc>
        <w:tc>
          <w:tcPr>
            <w:tcW w:w="2351" w:type="dxa"/>
          </w:tcPr>
          <w:p>
            <w:pPr>
              <w:spacing w:after="0" w:line="240" w:lineRule="auto"/>
              <w:rPr>
                <w:highlight w:val="none"/>
              </w:rPr>
            </w:pPr>
            <w:r>
              <w:rPr>
                <w:rFonts w:ascii="Times New Roman" w:hAnsi="Times New Roman" w:eastAsia="Times New Roman"/>
                <w:sz w:val="18"/>
                <w:highlight w:val="none"/>
              </w:rPr>
              <w:t>Relación 1:N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Oracle VW multa</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Multa en el núcleo SISUD</w:t>
            </w:r>
          </w:p>
        </w:tc>
        <w:tc>
          <w:tcPr>
            <w:tcW w:w="2351" w:type="dxa"/>
          </w:tcPr>
          <w:p>
            <w:pPr>
              <w:spacing w:after="0" w:line="240" w:lineRule="auto"/>
              <w:rPr>
                <w:highlight w:val="none"/>
              </w:rPr>
            </w:pPr>
            <w:r>
              <w:rPr>
                <w:rFonts w:ascii="Times New Roman" w:hAnsi="Times New Roman" w:eastAsia="Times New Roman"/>
                <w:sz w:val="18"/>
                <w:highlight w:val="none"/>
              </w:rPr>
              <w:t>CUM (+ CAM)</w:t>
            </w:r>
          </w:p>
        </w:tc>
        <w:tc>
          <w:tcPr>
            <w:tcW w:w="2351" w:type="dxa"/>
          </w:tcPr>
          <w:p>
            <w:pPr>
              <w:spacing w:after="0" w:line="240" w:lineRule="auto"/>
              <w:rPr>
                <w:highlight w:val="none"/>
              </w:rPr>
            </w:pPr>
            <w:r>
              <w:rPr>
                <w:rFonts w:ascii="Times New Roman" w:hAnsi="Times New Roman" w:eastAsia="Times New Roman"/>
                <w:sz w:val="18"/>
                <w:highlight w:val="none"/>
              </w:rPr>
              <w:t>Universo formal del 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MySQL gapps</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Registro de la aplicación de seguimiento MC</w:t>
            </w:r>
          </w:p>
        </w:tc>
        <w:tc>
          <w:tcPr>
            <w:tcW w:w="2351" w:type="dxa"/>
          </w:tcPr>
          <w:p>
            <w:pPr>
              <w:spacing w:after="0" w:line="240" w:lineRule="auto"/>
              <w:rPr>
                <w:highlight w:val="none"/>
              </w:rPr>
            </w:pPr>
            <w:r>
              <w:rPr>
                <w:rFonts w:ascii="Times New Roman" w:hAnsi="Times New Roman" w:eastAsia="Times New Roman"/>
                <w:sz w:val="18"/>
                <w:highlight w:val="none"/>
              </w:rPr>
              <w:t>NU_IDMC / TX_IDCUM</w:t>
            </w:r>
          </w:p>
        </w:tc>
        <w:tc>
          <w:tcPr>
            <w:tcW w:w="2351" w:type="dxa"/>
          </w:tcPr>
          <w:p>
            <w:pPr>
              <w:spacing w:after="0" w:line="240" w:lineRule="auto"/>
              <w:rPr>
                <w:highlight w:val="none"/>
              </w:rPr>
            </w:pPr>
            <w:r>
              <w:rPr>
                <w:rFonts w:ascii="Times New Roman" w:hAnsi="Times New Roman" w:eastAsia="Times New Roman"/>
                <w:sz w:val="18"/>
                <w:highlight w:val="none"/>
              </w:rPr>
              <w:t>Muestra operativa reducida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CSEP_INFORMES_VIEW</w:t>
            </w:r>
          </w:p>
        </w:tc>
        <w:tc>
          <w:tcPr>
            <w:tcW w:w="2351" w:type="dxa"/>
          </w:tcPr>
          <w:p>
            <w:pPr>
              <w:spacing w:after="0" w:line="240" w:lineRule="auto"/>
              <w:rPr>
                <w:highlight w:val="none"/>
              </w:rPr>
            </w:pPr>
            <w:r>
              <w:rPr>
                <w:rFonts w:ascii="Times New Roman" w:hAnsi="Times New Roman" w:eastAsia="Times New Roman"/>
                <w:sz w:val="18"/>
                <w:highlight w:val="none"/>
              </w:rPr>
              <w:t>Actividad / informe de supervisión</w:t>
            </w:r>
          </w:p>
        </w:tc>
        <w:tc>
          <w:tcPr>
            <w:tcW w:w="2351" w:type="dxa"/>
          </w:tcPr>
          <w:p>
            <w:pPr>
              <w:spacing w:after="0" w:line="240" w:lineRule="auto"/>
              <w:rPr>
                <w:highlight w:val="none"/>
              </w:rPr>
            </w:pPr>
            <w:r>
              <w:rPr>
                <w:rFonts w:ascii="Times New Roman" w:hAnsi="Times New Roman" w:eastAsia="Times New Roman"/>
                <w:sz w:val="18"/>
                <w:highlight w:val="none"/>
              </w:rPr>
              <w:t>IDACTIVIDAD</w:t>
            </w:r>
          </w:p>
        </w:tc>
        <w:tc>
          <w:tcPr>
            <w:tcW w:w="2351" w:type="dxa"/>
          </w:tcPr>
          <w:p>
            <w:pPr>
              <w:spacing w:after="0" w:line="240" w:lineRule="auto"/>
              <w:rPr>
                <w:highlight w:val="none"/>
              </w:rPr>
            </w:pPr>
            <w:r>
              <w:rPr>
                <w:rFonts w:ascii="Times New Roman" w:hAnsi="Times New Roman" w:eastAsia="Times New Roman"/>
                <w:sz w:val="18"/>
                <w:highlight w:val="none"/>
              </w:rPr>
              <w:t>No es una multa</w:t>
            </w:r>
          </w:p>
        </w:tc>
      </w:tr>
    </w:tbl>
    <w:p>
      <w:pPr>
        <w:spacing w:after="80"/>
        <w:rPr>
          <w:highlight w:val="none"/>
        </w:rPr>
      </w:pPr>
    </w:p>
    <w:p>
      <w:pPr>
        <w:jc w:val="center"/>
        <w:rPr>
          <w:highlight w:val="none"/>
          <w:lang w:val="es-PE"/>
        </w:rPr>
      </w:pPr>
      <w:r>
        <w:rPr>
          <w:rFonts w:ascii="Times New Roman" w:hAnsi="Times New Roman" w:eastAsia="Times New Roman"/>
          <w:i/>
          <w:sz w:val="20"/>
          <w:highlight w:val="none"/>
          <w:lang w:val="es-PE"/>
        </w:rPr>
        <w:t>Cuadro  Grano y llaves naturales de las bases integradas.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10. Correspondencia de campos: Hacia RPT_MULTA_COERCITIVA se homologaron campos puente (COD_MA, COD_PROY_MC, CUM, CAM, EXPEDIENTE, ADMINISTRADO, MONTO_S, MONTO_UIT, ESTADO) y se conservaron bloques específicos de seguimiento Sheets, etapas, SISUD y gapps. Las columnas no aportadas por una fuente quedan nulas; esa laxitud es intencional en un landing analítico. Hacia RPT_INFORME_SUPERVISION se preservó el diccionario de CSEP_INFORMES_VIEW, con énfasis en IDACTIVIDAD, TXCUC, TXNUMEXP, TXADMINISTRADO, TXTIPSUP, TXFUENTE, TXCOORDINACION, TXINFORME, FEINFORME y TXRECOMENDACION. El catálogo completo figura en h2/sql/01_schema.sql y en los DDL Oracle correspondientes.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10.1. Inventario de tablas de staging y hechos analíticos: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7"/>
        <w:gridCol w:w="1633"/>
        <w:gridCol w:w="2259"/>
        <w:gridCol w:w="1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Tabla</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Capa</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Origen / motor</w:t>
            </w:r>
          </w:p>
        </w:tc>
        <w:tc>
          <w:tcPr>
            <w:tcW w:w="235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Grano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STG_GS1_MULTAS_COERCITIVAS</w:t>
            </w:r>
          </w:p>
        </w:tc>
        <w:tc>
          <w:tcPr>
            <w:tcW w:w="2351" w:type="dxa"/>
          </w:tcPr>
          <w:p>
            <w:pPr>
              <w:spacing w:after="0" w:line="240" w:lineRule="auto"/>
              <w:rPr>
                <w:highlight w:val="none"/>
              </w:rPr>
            </w:pPr>
            <w:r>
              <w:rPr>
                <w:rFonts w:ascii="Times New Roman" w:hAnsi="Times New Roman" w:eastAsia="Times New Roman"/>
                <w:sz w:val="18"/>
                <w:highlight w:val="none"/>
              </w:rPr>
              <w:t>Bronze (H2)</w:t>
            </w:r>
          </w:p>
        </w:tc>
        <w:tc>
          <w:tcPr>
            <w:tcW w:w="2351" w:type="dxa"/>
          </w:tcPr>
          <w:p>
            <w:pPr>
              <w:spacing w:after="0" w:line="240" w:lineRule="auto"/>
              <w:rPr>
                <w:highlight w:val="none"/>
              </w:rPr>
            </w:pPr>
            <w:r>
              <w:rPr>
                <w:rFonts w:ascii="Times New Roman" w:hAnsi="Times New Roman" w:eastAsia="Times New Roman"/>
                <w:sz w:val="18"/>
                <w:highlight w:val="none"/>
              </w:rPr>
              <w:t>Sheets GS1 / Hop</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Medida en planilla (COD_MA)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STG_GS1_ETAPAS</w:t>
            </w:r>
          </w:p>
        </w:tc>
        <w:tc>
          <w:tcPr>
            <w:tcW w:w="2351" w:type="dxa"/>
          </w:tcPr>
          <w:p>
            <w:pPr>
              <w:spacing w:after="0" w:line="240" w:lineRule="auto"/>
              <w:rPr>
                <w:highlight w:val="none"/>
              </w:rPr>
            </w:pPr>
            <w:r>
              <w:rPr>
                <w:rFonts w:ascii="Times New Roman" w:hAnsi="Times New Roman" w:eastAsia="Times New Roman"/>
                <w:sz w:val="18"/>
                <w:highlight w:val="none"/>
              </w:rPr>
              <w:t>Bronze (H2)</w:t>
            </w:r>
          </w:p>
        </w:tc>
        <w:tc>
          <w:tcPr>
            <w:tcW w:w="2351" w:type="dxa"/>
          </w:tcPr>
          <w:p>
            <w:pPr>
              <w:spacing w:after="0" w:line="240" w:lineRule="auto"/>
              <w:rPr>
                <w:highlight w:val="none"/>
              </w:rPr>
            </w:pPr>
            <w:r>
              <w:rPr>
                <w:rFonts w:ascii="Times New Roman" w:hAnsi="Times New Roman" w:eastAsia="Times New Roman"/>
                <w:sz w:val="18"/>
                <w:highlight w:val="none"/>
              </w:rPr>
              <w:t>Sheets GS1 / Hop</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Etapa (COD_PROY_MC + NRO_ETAPA_MC)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STG_GS2_MULTAS_COERCITIVAS</w:t>
            </w:r>
          </w:p>
        </w:tc>
        <w:tc>
          <w:tcPr>
            <w:tcW w:w="2351" w:type="dxa"/>
          </w:tcPr>
          <w:p>
            <w:pPr>
              <w:spacing w:after="0" w:line="240" w:lineRule="auto"/>
              <w:rPr>
                <w:highlight w:val="none"/>
              </w:rPr>
            </w:pPr>
            <w:r>
              <w:rPr>
                <w:rFonts w:ascii="Times New Roman" w:hAnsi="Times New Roman" w:eastAsia="Times New Roman"/>
                <w:sz w:val="18"/>
                <w:highlight w:val="none"/>
              </w:rPr>
              <w:t>Bronze (H2)</w:t>
            </w:r>
          </w:p>
        </w:tc>
        <w:tc>
          <w:tcPr>
            <w:tcW w:w="2351" w:type="dxa"/>
          </w:tcPr>
          <w:p>
            <w:pPr>
              <w:spacing w:after="0" w:line="240" w:lineRule="auto"/>
              <w:rPr>
                <w:highlight w:val="none"/>
              </w:rPr>
            </w:pPr>
            <w:r>
              <w:rPr>
                <w:rFonts w:ascii="Times New Roman" w:hAnsi="Times New Roman" w:eastAsia="Times New Roman"/>
                <w:sz w:val="18"/>
                <w:highlight w:val="none"/>
              </w:rPr>
              <w:t>Sheets GS2 / Hop</w:t>
            </w:r>
          </w:p>
        </w:tc>
        <w:tc>
          <w:tcPr>
            <w:tcW w:w="2351" w:type="dxa"/>
          </w:tcPr>
          <w:p>
            <w:pPr>
              <w:spacing w:after="0" w:line="240" w:lineRule="auto"/>
              <w:rPr>
                <w:highlight w:val="none"/>
                <w:lang w:val="es-PE"/>
              </w:rPr>
            </w:pPr>
            <w:r>
              <w:rPr>
                <w:rFonts w:ascii="Times New Roman" w:hAnsi="Times New Roman" w:eastAsia="Times New Roman"/>
                <w:sz w:val="18"/>
                <w:highlight w:val="none"/>
                <w:lang w:val="es-PE"/>
              </w:rPr>
              <w:t>Medida en planilla (COD_MA)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lang w:val="es-PE"/>
              </w:rPr>
            </w:pPr>
            <w:r>
              <w:rPr>
                <w:rFonts w:ascii="Times New Roman" w:hAnsi="Times New Roman" w:eastAsia="Times New Roman"/>
                <w:sz w:val="18"/>
                <w:highlight w:val="none"/>
                <w:lang w:val="es-PE"/>
              </w:rPr>
              <w:t>STG_ORA_VW_MULTA_COERCITIVA</w:t>
            </w:r>
          </w:p>
        </w:tc>
        <w:tc>
          <w:tcPr>
            <w:tcW w:w="2351" w:type="dxa"/>
          </w:tcPr>
          <w:p>
            <w:pPr>
              <w:spacing w:after="0" w:line="240" w:lineRule="auto"/>
              <w:rPr>
                <w:highlight w:val="none"/>
              </w:rPr>
            </w:pPr>
            <w:r>
              <w:rPr>
                <w:rFonts w:ascii="Times New Roman" w:hAnsi="Times New Roman" w:eastAsia="Times New Roman"/>
                <w:sz w:val="18"/>
                <w:highlight w:val="none"/>
              </w:rPr>
              <w:t>Bronze (H2)</w:t>
            </w:r>
          </w:p>
        </w:tc>
        <w:tc>
          <w:tcPr>
            <w:tcW w:w="2351" w:type="dxa"/>
          </w:tcPr>
          <w:p>
            <w:pPr>
              <w:spacing w:after="0" w:line="240" w:lineRule="auto"/>
              <w:rPr>
                <w:highlight w:val="none"/>
              </w:rPr>
            </w:pPr>
            <w:r>
              <w:rPr>
                <w:rFonts w:ascii="Times New Roman" w:hAnsi="Times New Roman" w:eastAsia="Times New Roman"/>
                <w:sz w:val="18"/>
                <w:highlight w:val="none"/>
              </w:rPr>
              <w:t>SISUD / Hop</w:t>
            </w:r>
          </w:p>
        </w:tc>
        <w:tc>
          <w:tcPr>
            <w:tcW w:w="2351" w:type="dxa"/>
          </w:tcPr>
          <w:p>
            <w:pPr>
              <w:spacing w:after="0" w:line="240" w:lineRule="auto"/>
              <w:rPr>
                <w:highlight w:val="none"/>
              </w:rPr>
            </w:pPr>
            <w:r>
              <w:rPr>
                <w:rFonts w:ascii="Times New Roman" w:hAnsi="Times New Roman" w:eastAsia="Times New Roman"/>
                <w:sz w:val="18"/>
                <w:highlight w:val="none"/>
              </w:rPr>
              <w:t>Multa SISUD (CUM)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STG_MYSQL_T_MVC_MULTACOERCITIVA</w:t>
            </w:r>
          </w:p>
        </w:tc>
        <w:tc>
          <w:tcPr>
            <w:tcW w:w="2351" w:type="dxa"/>
          </w:tcPr>
          <w:p>
            <w:pPr>
              <w:spacing w:after="0" w:line="240" w:lineRule="auto"/>
              <w:rPr>
                <w:highlight w:val="none"/>
              </w:rPr>
            </w:pPr>
            <w:r>
              <w:rPr>
                <w:rFonts w:ascii="Times New Roman" w:hAnsi="Times New Roman" w:eastAsia="Times New Roman"/>
                <w:sz w:val="18"/>
                <w:highlight w:val="none"/>
              </w:rPr>
              <w:t>Bronze (H2)</w:t>
            </w:r>
          </w:p>
        </w:tc>
        <w:tc>
          <w:tcPr>
            <w:tcW w:w="2351" w:type="dxa"/>
          </w:tcPr>
          <w:p>
            <w:pPr>
              <w:spacing w:after="0" w:line="240" w:lineRule="auto"/>
              <w:rPr>
                <w:highlight w:val="none"/>
              </w:rPr>
            </w:pPr>
            <w:r>
              <w:rPr>
                <w:rFonts w:ascii="Times New Roman" w:hAnsi="Times New Roman" w:eastAsia="Times New Roman"/>
                <w:sz w:val="18"/>
                <w:highlight w:val="none"/>
              </w:rPr>
              <w:t>gapps / Hop</w:t>
            </w:r>
          </w:p>
        </w:tc>
        <w:tc>
          <w:tcPr>
            <w:tcW w:w="2351" w:type="dxa"/>
          </w:tcPr>
          <w:p>
            <w:pPr>
              <w:spacing w:after="0" w:line="240" w:lineRule="auto"/>
              <w:rPr>
                <w:highlight w:val="none"/>
              </w:rPr>
            </w:pPr>
            <w:r>
              <w:rPr>
                <w:rFonts w:ascii="Times New Roman" w:hAnsi="Times New Roman" w:eastAsia="Times New Roman"/>
                <w:sz w:val="18"/>
                <w:highlight w:val="none"/>
              </w:rPr>
              <w:t>Registro MC (NU_IDMC)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STG_ORA_CSEP_INFORMES</w:t>
            </w:r>
          </w:p>
        </w:tc>
        <w:tc>
          <w:tcPr>
            <w:tcW w:w="2351" w:type="dxa"/>
          </w:tcPr>
          <w:p>
            <w:pPr>
              <w:spacing w:after="0" w:line="240" w:lineRule="auto"/>
              <w:rPr>
                <w:highlight w:val="none"/>
              </w:rPr>
            </w:pPr>
            <w:r>
              <w:rPr>
                <w:rFonts w:ascii="Times New Roman" w:hAnsi="Times New Roman" w:eastAsia="Times New Roman"/>
                <w:sz w:val="18"/>
                <w:highlight w:val="none"/>
              </w:rPr>
              <w:t>Bronze (H2)</w:t>
            </w:r>
          </w:p>
        </w:tc>
        <w:tc>
          <w:tcPr>
            <w:tcW w:w="2351" w:type="dxa"/>
          </w:tcPr>
          <w:p>
            <w:pPr>
              <w:spacing w:after="0" w:line="240" w:lineRule="auto"/>
              <w:rPr>
                <w:highlight w:val="none"/>
              </w:rPr>
            </w:pPr>
            <w:r>
              <w:rPr>
                <w:rFonts w:ascii="Times New Roman" w:hAnsi="Times New Roman" w:eastAsia="Times New Roman"/>
                <w:sz w:val="18"/>
                <w:highlight w:val="none"/>
              </w:rPr>
              <w:t>CSEP_INFORMES_VIEW / Hop</w:t>
            </w:r>
          </w:p>
        </w:tc>
        <w:tc>
          <w:tcPr>
            <w:tcW w:w="2351" w:type="dxa"/>
          </w:tcPr>
          <w:p>
            <w:pPr>
              <w:spacing w:after="0" w:line="240" w:lineRule="auto"/>
              <w:rPr>
                <w:highlight w:val="none"/>
              </w:rPr>
            </w:pPr>
            <w:r>
              <w:rPr>
                <w:rFonts w:ascii="Times New Roman" w:hAnsi="Times New Roman" w:eastAsia="Times New Roman"/>
                <w:sz w:val="18"/>
                <w:highlight w:val="none"/>
              </w:rPr>
              <w:t>Actividad (IDACTIVIDAD)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line="240" w:lineRule="auto"/>
              <w:rPr>
                <w:highlight w:val="none"/>
              </w:rPr>
            </w:pPr>
            <w:r>
              <w:rPr>
                <w:rFonts w:ascii="Times New Roman" w:hAnsi="Times New Roman" w:eastAsia="Times New Roman"/>
                <w:sz w:val="18"/>
                <w:highlight w:val="none"/>
              </w:rPr>
              <w:t>RPT_MULTA_COERCITIVA</w:t>
            </w:r>
          </w:p>
        </w:tc>
        <w:tc>
          <w:tcPr>
            <w:tcW w:w="2351" w:type="dxa"/>
          </w:tcPr>
          <w:p>
            <w:pPr>
              <w:spacing w:after="0" w:line="240" w:lineRule="auto"/>
              <w:rPr>
                <w:highlight w:val="none"/>
              </w:rPr>
            </w:pPr>
            <w:r>
              <w:rPr>
                <w:rFonts w:ascii="Times New Roman" w:hAnsi="Times New Roman" w:eastAsia="Times New Roman"/>
                <w:sz w:val="18"/>
                <w:highlight w:val="none"/>
              </w:rPr>
              <w:t>Silver landing (REPOCSEP)</w:t>
            </w:r>
          </w:p>
        </w:tc>
        <w:tc>
          <w:tcPr>
            <w:tcW w:w="2351" w:type="dxa"/>
          </w:tcPr>
          <w:p>
            <w:pPr>
              <w:spacing w:after="0" w:line="240" w:lineRule="auto"/>
              <w:rPr>
                <w:highlight w:val="none"/>
              </w:rPr>
            </w:pPr>
            <w:r>
              <w:rPr>
                <w:rFonts w:ascii="Times New Roman" w:hAnsi="Times New Roman" w:eastAsia="Times New Roman"/>
                <w:sz w:val="18"/>
                <w:highlight w:val="none"/>
              </w:rPr>
              <w:t>Hop STG + R UNION</w:t>
            </w:r>
          </w:p>
        </w:tc>
        <w:tc>
          <w:tcPr>
            <w:tcW w:w="2351" w:type="dxa"/>
          </w:tcPr>
          <w:p>
            <w:pPr>
              <w:spacing w:after="0" w:line="240" w:lineRule="auto"/>
              <w:rPr>
                <w:highlight w:val="none"/>
              </w:rPr>
            </w:pPr>
            <w:r>
              <w:rPr>
                <w:rFonts w:ascii="Times New Roman" w:hAnsi="Times New Roman" w:eastAsia="Times New Roman"/>
                <w:sz w:val="18"/>
                <w:highlight w:val="none"/>
              </w:rPr>
              <w:t>1 fila por origen (FUENTE)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line="240" w:lineRule="auto"/>
              <w:rPr>
                <w:highlight w:val="none"/>
              </w:rPr>
            </w:pPr>
            <w:r>
              <w:rPr>
                <w:rFonts w:ascii="Times New Roman" w:hAnsi="Times New Roman" w:eastAsia="Times New Roman"/>
                <w:sz w:val="18"/>
                <w:highlight w:val="none"/>
              </w:rPr>
              <w:t>RPT_INFORME_SUPERVISION</w:t>
            </w:r>
          </w:p>
        </w:tc>
        <w:tc>
          <w:tcPr>
            <w:tcW w:w="2351" w:type="dxa"/>
          </w:tcPr>
          <w:p>
            <w:pPr>
              <w:spacing w:after="0" w:line="240" w:lineRule="auto"/>
              <w:rPr>
                <w:highlight w:val="none"/>
              </w:rPr>
            </w:pPr>
            <w:r>
              <w:rPr>
                <w:rFonts w:ascii="Times New Roman" w:hAnsi="Times New Roman" w:eastAsia="Times New Roman"/>
                <w:sz w:val="18"/>
                <w:highlight w:val="none"/>
              </w:rPr>
              <w:t>Silver landing (REPOCSEP)</w:t>
            </w:r>
          </w:p>
        </w:tc>
        <w:tc>
          <w:tcPr>
            <w:tcW w:w="2351" w:type="dxa"/>
          </w:tcPr>
          <w:p>
            <w:pPr>
              <w:spacing w:after="0" w:line="240" w:lineRule="auto"/>
              <w:rPr>
                <w:highlight w:val="none"/>
              </w:rPr>
            </w:pPr>
            <w:r>
              <w:rPr>
                <w:rFonts w:ascii="Times New Roman" w:hAnsi="Times New Roman" w:eastAsia="Times New Roman"/>
                <w:sz w:val="18"/>
                <w:highlight w:val="none"/>
              </w:rPr>
              <w:t>Hop only</w:t>
            </w:r>
          </w:p>
        </w:tc>
        <w:tc>
          <w:tcPr>
            <w:tcW w:w="2351" w:type="dxa"/>
          </w:tcPr>
          <w:p>
            <w:pPr>
              <w:spacing w:after="0" w:line="240" w:lineRule="auto"/>
              <w:rPr>
                <w:highlight w:val="none"/>
              </w:rPr>
            </w:pPr>
            <w:r>
              <w:rPr>
                <w:rFonts w:ascii="Times New Roman" w:hAnsi="Times New Roman" w:eastAsia="Times New Roman"/>
                <w:sz w:val="18"/>
                <w:highlight w:val="none"/>
              </w:rPr>
              <w:t>1 actividad / informe</w:t>
            </w:r>
          </w:p>
        </w:tc>
      </w:tr>
    </w:tbl>
    <w:p>
      <w:pPr>
        <w:spacing w:after="80"/>
        <w:rPr>
          <w:highlight w:val="none"/>
        </w:rPr>
      </w:pPr>
    </w:p>
    <w:p>
      <w:pPr>
        <w:jc w:val="center"/>
        <w:rPr>
          <w:highlight w:val="none"/>
          <w:lang w:val="es-PE"/>
        </w:rPr>
      </w:pPr>
      <w:r>
        <w:rPr>
          <w:rFonts w:ascii="Times New Roman" w:hAnsi="Times New Roman" w:eastAsia="Times New Roman"/>
          <w:i/>
          <w:sz w:val="20"/>
          <w:highlight w:val="none"/>
          <w:lang w:val="es-PE"/>
        </w:rPr>
        <w:t>Cuadro Inventario STG_* y RPT_*. No se mezclan granos de multa e informe.</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11. Clasificación, periodos e indicadores: Sin aplicar aún reglas de homologación (literal d, Segundo Entregable), se identificaron ejes de clasificación ya presentes: origen institucional u OD (sufijo de COD_MA y spreadsheet); sistema de registro (planilla, SISUD, gapps); etapa del proyecto de multa (ACCION_MC, EST_ETAPA_MC); ameritación y cobranza en planillas; y, en informes, coordinación/sector, tipo de supervisión, fuente PLANEFA y recomendación (TXRECOMENDACION). No se aplicó filtro de corte temporal: ello constituye una decisión de depuración del Segundo Entregable. Existen fechas suficientes (Sheets, FECHA_EMISION, FEINFORME y fechas de proyecto) para un recorte posterior acordado con el área usuaria.</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11.1. Indicadores tentativos —aún no calculados; el literal g corresponde al Tercer Entregable— cuyos insumos ya están en las bases: número de multas en seguimiento (COD_MA); proyectos y etapas; stock y montos SISUD; multas con pago o vencidas en planilla; recomendaciones de informe (TXRECOMENDACION); y cobertura de cruce informe–multa (a definir con regla oficial de equivalencia).</w:t>
      </w:r>
    </w:p>
    <w:p>
      <w:pPr>
        <w:spacing w:after="160" w:line="300" w:lineRule="auto"/>
        <w:ind w:firstLine="567"/>
        <w:jc w:val="both"/>
        <w:rPr>
          <w:highlight w:val="none"/>
        </w:rPr>
      </w:pPr>
      <w:r>
        <w:rPr>
          <w:rFonts w:ascii="Times New Roman" w:hAnsi="Times New Roman" w:eastAsia="Times New Roman"/>
          <w:sz w:val="24"/>
          <w:highlight w:val="none"/>
          <w:lang w:val="es-PE"/>
        </w:rPr>
        <w:t xml:space="preserve">11.2. Perspectiva de data warehouse (diseño, no ejecución del literal f): el Primer Entregable deja materializadas las capas bronze (STG_*) y silver landing (RPT_*). El silver depurado (FACT_*) y el gold (efectividad / BI) se construirán en entregables posteriores. </w:t>
      </w:r>
      <w:r>
        <w:rPr>
          <w:rFonts w:ascii="Times New Roman" w:hAnsi="Times New Roman" w:eastAsia="Times New Roman"/>
          <w:sz w:val="24"/>
          <w:highlight w:val="none"/>
        </w:rPr>
        <w:t>Las Figuras 4 y 6 ilustran dicho diseño:</w:t>
      </w:r>
    </w:p>
    <w:p>
      <w:pPr>
        <w:spacing w:before="200" w:after="80"/>
        <w:jc w:val="center"/>
        <w:rPr>
          <w:highlight w:val="none"/>
        </w:rPr>
      </w:pPr>
      <w:r>
        <w:rPr>
          <w:highlight w:val="none"/>
        </w:rPr>
        <w:drawing>
          <wp:inline distT="0" distB="0" distL="114300" distR="114300">
            <wp:extent cx="5669280" cy="1904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1904611"/>
                    </a:xfrm>
                    <a:prstGeom prst="rect">
                      <a:avLst/>
                    </a:prstGeom>
                  </pic:spPr>
                </pic:pic>
              </a:graphicData>
            </a:graphic>
          </wp:inline>
        </w:drawing>
      </w:r>
    </w:p>
    <w:p>
      <w:pPr>
        <w:spacing w:before="40" w:after="240"/>
        <w:jc w:val="center"/>
        <w:rPr>
          <w:highlight w:val="none"/>
          <w:lang w:val="es-PE"/>
        </w:rPr>
      </w:pPr>
      <w:r>
        <w:rPr>
          <w:rFonts w:ascii="Times New Roman" w:hAnsi="Times New Roman" w:eastAsia="Times New Roman"/>
          <w:i/>
          <w:sz w:val="20"/>
          <w:highlight w:val="none"/>
          <w:lang w:val="es-PE"/>
        </w:rPr>
        <w:t>Figura Diseño de capas bronze / silver / gold hacia el análisis de efectividad (literal f, futuro).</w:t>
      </w:r>
    </w:p>
    <w:p>
      <w:pPr>
        <w:spacing w:before="200" w:after="80"/>
        <w:jc w:val="center"/>
        <w:rPr>
          <w:highlight w:val="none"/>
        </w:rPr>
      </w:pPr>
      <w:r>
        <w:rPr>
          <w:highlight w:val="none"/>
        </w:rPr>
        <w:drawing>
          <wp:inline distT="0" distB="0" distL="114300" distR="114300">
            <wp:extent cx="5303520" cy="5239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5239390"/>
                    </a:xfrm>
                    <a:prstGeom prst="rect">
                      <a:avLst/>
                    </a:prstGeom>
                  </pic:spPr>
                </pic:pic>
              </a:graphicData>
            </a:graphic>
          </wp:inline>
        </w:drawing>
      </w:r>
    </w:p>
    <w:p>
      <w:pPr>
        <w:spacing w:before="40" w:after="240"/>
        <w:jc w:val="center"/>
        <w:rPr>
          <w:highlight w:val="none"/>
          <w:lang w:val="es-PE"/>
        </w:rPr>
      </w:pPr>
      <w:r>
        <w:rPr>
          <w:rFonts w:ascii="Times New Roman" w:hAnsi="Times New Roman" w:eastAsia="Times New Roman"/>
          <w:i/>
          <w:sz w:val="20"/>
          <w:highlight w:val="none"/>
          <w:lang w:val="es-PE"/>
        </w:rPr>
        <w:t>Figura. Capas bronze / silver / gold. El Primer Entregable materializa bronze y silver landing; el silver depurado y el gold corresponden a los entregables 2 y 3.</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12. Sustento de la actividad: Como sustento de la Actividad b) del presente informe, se ha elaborado el Anexo B-1: “Estructura, grano, llaves y correspondencia de campos”, con el detalle de la revisión estructural de ambas bases. Dicho anexo se encuentra en la carpeta “Actividad B” del adjunto “Anexos Informe 1”.</w:t>
      </w:r>
    </w:p>
    <w:p>
      <w:pPr>
        <w:spacing w:before="240" w:after="160" w:line="300" w:lineRule="auto"/>
        <w:jc w:val="both"/>
        <w:rPr>
          <w:highlight w:val="none"/>
          <w:lang w:val="es-PE"/>
        </w:rPr>
      </w:pPr>
      <w:r>
        <w:rPr>
          <w:rFonts w:ascii="Times New Roman" w:hAnsi="Times New Roman" w:eastAsia="Times New Roman"/>
          <w:b/>
          <w:sz w:val="24"/>
          <w:highlight w:val="none"/>
          <w:lang w:val="es-PE"/>
        </w:rPr>
        <w:t>c) Validar la completitud, consistencia y coherencia de la información recopilada, identificando registros incompletos, duplicados, inconsistentes, valores fuera de rango, errores de codificación u otros hallazgos que puedan afectar la calidad del análisis.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13. Completitud y unicidad (multas, corrida 11/08/2026): Se cuantificaron filas, llaves completas y valores distintos por fuente: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Fuente</w:t>
            </w:r>
          </w:p>
        </w:tc>
        <w:tc>
          <w:tcPr>
            <w:tcW w:w="188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Filas</w:t>
            </w:r>
          </w:p>
        </w:tc>
        <w:tc>
          <w:tcPr>
            <w:tcW w:w="188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Campo clave</w:t>
            </w:r>
          </w:p>
        </w:tc>
        <w:tc>
          <w:tcPr>
            <w:tcW w:w="188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Distintos</w:t>
            </w:r>
          </w:p>
        </w:tc>
        <w:tc>
          <w:tcPr>
            <w:tcW w:w="1881"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Hallazgo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pPr>
              <w:spacing w:after="0" w:line="240" w:lineRule="auto"/>
              <w:rPr>
                <w:highlight w:val="none"/>
              </w:rPr>
            </w:pPr>
            <w:r>
              <w:rPr>
                <w:rFonts w:ascii="Times New Roman" w:hAnsi="Times New Roman" w:eastAsia="Times New Roman"/>
                <w:sz w:val="18"/>
                <w:highlight w:val="none"/>
              </w:rPr>
              <w:t>GS1 Multas</w:t>
            </w:r>
          </w:p>
        </w:tc>
        <w:tc>
          <w:tcPr>
            <w:tcW w:w="1881" w:type="dxa"/>
          </w:tcPr>
          <w:p>
            <w:pPr>
              <w:spacing w:after="0" w:line="240" w:lineRule="auto"/>
              <w:rPr>
                <w:highlight w:val="none"/>
              </w:rPr>
            </w:pPr>
            <w:r>
              <w:rPr>
                <w:rFonts w:ascii="Times New Roman" w:hAnsi="Times New Roman" w:eastAsia="Times New Roman"/>
                <w:sz w:val="18"/>
                <w:highlight w:val="none"/>
              </w:rPr>
              <w:t>16</w:t>
            </w:r>
          </w:p>
        </w:tc>
        <w:tc>
          <w:tcPr>
            <w:tcW w:w="1881" w:type="dxa"/>
          </w:tcPr>
          <w:p>
            <w:pPr>
              <w:spacing w:after="0" w:line="240" w:lineRule="auto"/>
              <w:rPr>
                <w:highlight w:val="none"/>
              </w:rPr>
            </w:pPr>
            <w:r>
              <w:rPr>
                <w:rFonts w:ascii="Times New Roman" w:hAnsi="Times New Roman" w:eastAsia="Times New Roman"/>
                <w:sz w:val="18"/>
                <w:highlight w:val="none"/>
              </w:rPr>
              <w:t>COD_MA 16/16</w:t>
            </w:r>
          </w:p>
        </w:tc>
        <w:tc>
          <w:tcPr>
            <w:tcW w:w="1881" w:type="dxa"/>
          </w:tcPr>
          <w:p>
            <w:pPr>
              <w:spacing w:after="0" w:line="240" w:lineRule="auto"/>
              <w:rPr>
                <w:highlight w:val="none"/>
              </w:rPr>
            </w:pPr>
            <w:r>
              <w:rPr>
                <w:rFonts w:ascii="Times New Roman" w:hAnsi="Times New Roman" w:eastAsia="Times New Roman"/>
                <w:sz w:val="18"/>
                <w:highlight w:val="none"/>
              </w:rPr>
              <w:t>12</w:t>
            </w:r>
          </w:p>
        </w:tc>
        <w:tc>
          <w:tcPr>
            <w:tcW w:w="1881" w:type="dxa"/>
          </w:tcPr>
          <w:p>
            <w:pPr>
              <w:spacing w:after="0" w:line="240" w:lineRule="auto"/>
              <w:rPr>
                <w:highlight w:val="none"/>
                <w:lang w:val="es-PE"/>
              </w:rPr>
            </w:pPr>
            <w:r>
              <w:rPr>
                <w:rFonts w:ascii="Times New Roman" w:hAnsi="Times New Roman" w:eastAsia="Times New Roman"/>
                <w:sz w:val="18"/>
                <w:highlight w:val="none"/>
                <w:lang w:val="es-PE"/>
              </w:rPr>
              <w:t>Cuatro filas extra: posible duplicado o acto sucesivo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pPr>
              <w:spacing w:after="0" w:line="240" w:lineRule="auto"/>
              <w:rPr>
                <w:highlight w:val="none"/>
              </w:rPr>
            </w:pPr>
            <w:r>
              <w:rPr>
                <w:rFonts w:ascii="Times New Roman" w:hAnsi="Times New Roman" w:eastAsia="Times New Roman"/>
                <w:sz w:val="18"/>
                <w:highlight w:val="none"/>
              </w:rPr>
              <w:t>GS2 Multas</w:t>
            </w:r>
          </w:p>
        </w:tc>
        <w:tc>
          <w:tcPr>
            <w:tcW w:w="1881" w:type="dxa"/>
          </w:tcPr>
          <w:p>
            <w:pPr>
              <w:spacing w:after="0" w:line="240" w:lineRule="auto"/>
              <w:rPr>
                <w:highlight w:val="none"/>
              </w:rPr>
            </w:pPr>
            <w:r>
              <w:rPr>
                <w:rFonts w:ascii="Times New Roman" w:hAnsi="Times New Roman" w:eastAsia="Times New Roman"/>
                <w:sz w:val="18"/>
                <w:highlight w:val="none"/>
              </w:rPr>
              <w:t>21</w:t>
            </w:r>
          </w:p>
        </w:tc>
        <w:tc>
          <w:tcPr>
            <w:tcW w:w="1881" w:type="dxa"/>
          </w:tcPr>
          <w:p>
            <w:pPr>
              <w:spacing w:after="0" w:line="240" w:lineRule="auto"/>
              <w:rPr>
                <w:highlight w:val="none"/>
              </w:rPr>
            </w:pPr>
            <w:r>
              <w:rPr>
                <w:rFonts w:ascii="Times New Roman" w:hAnsi="Times New Roman" w:eastAsia="Times New Roman"/>
                <w:sz w:val="18"/>
                <w:highlight w:val="none"/>
              </w:rPr>
              <w:t>COD_MA 21/21</w:t>
            </w:r>
          </w:p>
        </w:tc>
        <w:tc>
          <w:tcPr>
            <w:tcW w:w="1881" w:type="dxa"/>
          </w:tcPr>
          <w:p>
            <w:pPr>
              <w:spacing w:after="0" w:line="240" w:lineRule="auto"/>
              <w:rPr>
                <w:highlight w:val="none"/>
              </w:rPr>
            </w:pPr>
            <w:r>
              <w:rPr>
                <w:rFonts w:ascii="Times New Roman" w:hAnsi="Times New Roman" w:eastAsia="Times New Roman"/>
                <w:sz w:val="18"/>
                <w:highlight w:val="none"/>
              </w:rPr>
              <w:t>18</w:t>
            </w:r>
          </w:p>
        </w:tc>
        <w:tc>
          <w:tcPr>
            <w:tcW w:w="1881" w:type="dxa"/>
          </w:tcPr>
          <w:p>
            <w:pPr>
              <w:spacing w:after="0" w:line="240" w:lineRule="auto"/>
              <w:rPr>
                <w:highlight w:val="none"/>
              </w:rPr>
            </w:pPr>
            <w:r>
              <w:rPr>
                <w:rFonts w:ascii="Times New Roman" w:hAnsi="Times New Roman" w:eastAsia="Times New Roman"/>
                <w:sz w:val="18"/>
                <w:highlight w:val="none"/>
              </w:rPr>
              <w:t>Tres COD_MA repetidos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81" w:type="dxa"/>
          </w:tcPr>
          <w:p>
            <w:pPr>
              <w:spacing w:after="0" w:line="240" w:lineRule="auto"/>
              <w:rPr>
                <w:highlight w:val="none"/>
              </w:rPr>
            </w:pPr>
            <w:r>
              <w:rPr>
                <w:rFonts w:ascii="Times New Roman" w:hAnsi="Times New Roman" w:eastAsia="Times New Roman"/>
                <w:sz w:val="18"/>
                <w:highlight w:val="none"/>
              </w:rPr>
              <w:t>Etapas</w:t>
            </w:r>
          </w:p>
        </w:tc>
        <w:tc>
          <w:tcPr>
            <w:tcW w:w="1881" w:type="dxa"/>
          </w:tcPr>
          <w:p>
            <w:pPr>
              <w:spacing w:after="0" w:line="240" w:lineRule="auto"/>
              <w:rPr>
                <w:highlight w:val="none"/>
              </w:rPr>
            </w:pPr>
            <w:r>
              <w:rPr>
                <w:rFonts w:ascii="Times New Roman" w:hAnsi="Times New Roman" w:eastAsia="Times New Roman"/>
                <w:sz w:val="18"/>
                <w:highlight w:val="none"/>
              </w:rPr>
              <w:t>55</w:t>
            </w:r>
          </w:p>
        </w:tc>
        <w:tc>
          <w:tcPr>
            <w:tcW w:w="1881" w:type="dxa"/>
          </w:tcPr>
          <w:p>
            <w:pPr>
              <w:spacing w:after="0" w:line="240" w:lineRule="auto"/>
              <w:rPr>
                <w:highlight w:val="none"/>
              </w:rPr>
            </w:pPr>
            <w:r>
              <w:rPr>
                <w:rFonts w:ascii="Times New Roman" w:hAnsi="Times New Roman" w:eastAsia="Times New Roman"/>
                <w:sz w:val="18"/>
                <w:highlight w:val="none"/>
              </w:rPr>
              <w:t>COD_PROY_MC 55/55</w:t>
            </w:r>
          </w:p>
        </w:tc>
        <w:tc>
          <w:tcPr>
            <w:tcW w:w="1881" w:type="dxa"/>
          </w:tcPr>
          <w:p>
            <w:pPr>
              <w:spacing w:after="0" w:line="240" w:lineRule="auto"/>
              <w:rPr>
                <w:highlight w:val="none"/>
              </w:rPr>
            </w:pPr>
            <w:r>
              <w:rPr>
                <w:rFonts w:ascii="Times New Roman" w:hAnsi="Times New Roman" w:eastAsia="Times New Roman"/>
                <w:sz w:val="18"/>
                <w:highlight w:val="none"/>
              </w:rPr>
              <w:t>11</w:t>
            </w:r>
          </w:p>
        </w:tc>
        <w:tc>
          <w:tcPr>
            <w:tcW w:w="1881" w:type="dxa"/>
          </w:tcPr>
          <w:p>
            <w:pPr>
              <w:spacing w:after="0" w:line="240" w:lineRule="auto"/>
              <w:rPr>
                <w:highlight w:val="none"/>
                <w:lang w:val="es-PE"/>
              </w:rPr>
            </w:pPr>
            <w:r>
              <w:rPr>
                <w:rFonts w:ascii="Times New Roman" w:hAnsi="Times New Roman" w:eastAsia="Times New Roman"/>
                <w:sz w:val="18"/>
                <w:highlight w:val="none"/>
                <w:lang w:val="es-PE"/>
              </w:rPr>
              <w:t>Grano 1:N; join exacto requiere normalizar texto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pPr>
              <w:spacing w:after="0" w:line="240" w:lineRule="auto"/>
              <w:rPr>
                <w:highlight w:val="none"/>
              </w:rPr>
            </w:pPr>
            <w:r>
              <w:rPr>
                <w:rFonts w:ascii="Times New Roman" w:hAnsi="Times New Roman" w:eastAsia="Times New Roman"/>
                <w:sz w:val="18"/>
                <w:highlight w:val="none"/>
              </w:rPr>
              <w:t>Oracle</w:t>
            </w:r>
          </w:p>
        </w:tc>
        <w:tc>
          <w:tcPr>
            <w:tcW w:w="1881" w:type="dxa"/>
          </w:tcPr>
          <w:p>
            <w:pPr>
              <w:spacing w:after="0" w:line="240" w:lineRule="auto"/>
              <w:rPr>
                <w:highlight w:val="none"/>
              </w:rPr>
            </w:pPr>
            <w:r>
              <w:rPr>
                <w:rFonts w:ascii="Times New Roman" w:hAnsi="Times New Roman" w:eastAsia="Times New Roman"/>
                <w:sz w:val="18"/>
                <w:highlight w:val="none"/>
              </w:rPr>
              <w:t>530</w:t>
            </w:r>
          </w:p>
        </w:tc>
        <w:tc>
          <w:tcPr>
            <w:tcW w:w="1881" w:type="dxa"/>
          </w:tcPr>
          <w:p>
            <w:pPr>
              <w:spacing w:after="0" w:line="240" w:lineRule="auto"/>
              <w:rPr>
                <w:highlight w:val="none"/>
              </w:rPr>
            </w:pPr>
            <w:r>
              <w:rPr>
                <w:rFonts w:ascii="Times New Roman" w:hAnsi="Times New Roman" w:eastAsia="Times New Roman"/>
                <w:sz w:val="18"/>
                <w:highlight w:val="none"/>
              </w:rPr>
              <w:t>CUM 530/530</w:t>
            </w:r>
          </w:p>
        </w:tc>
        <w:tc>
          <w:tcPr>
            <w:tcW w:w="1881" w:type="dxa"/>
          </w:tcPr>
          <w:p>
            <w:pPr>
              <w:spacing w:after="0" w:line="240" w:lineRule="auto"/>
              <w:rPr>
                <w:highlight w:val="none"/>
              </w:rPr>
            </w:pPr>
            <w:r>
              <w:rPr>
                <w:rFonts w:ascii="Times New Roman" w:hAnsi="Times New Roman" w:eastAsia="Times New Roman"/>
                <w:sz w:val="18"/>
                <w:highlight w:val="none"/>
              </w:rPr>
              <w:t>530</w:t>
            </w:r>
          </w:p>
        </w:tc>
        <w:tc>
          <w:tcPr>
            <w:tcW w:w="1881" w:type="dxa"/>
          </w:tcPr>
          <w:p>
            <w:pPr>
              <w:spacing w:after="0" w:line="240" w:lineRule="auto"/>
              <w:rPr>
                <w:highlight w:val="none"/>
              </w:rPr>
            </w:pPr>
            <w:r>
              <w:rPr>
                <w:rFonts w:ascii="Times New Roman" w:hAnsi="Times New Roman" w:eastAsia="Times New Roman"/>
                <w:sz w:val="18"/>
                <w:highlight w:val="none"/>
              </w:rPr>
              <w:t>Llave SISUD completa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pPr>
              <w:spacing w:after="0" w:line="240" w:lineRule="auto"/>
              <w:rPr>
                <w:highlight w:val="none"/>
              </w:rPr>
            </w:pPr>
            <w:r>
              <w:rPr>
                <w:rFonts w:ascii="Times New Roman" w:hAnsi="Times New Roman" w:eastAsia="Times New Roman"/>
                <w:sz w:val="18"/>
                <w:highlight w:val="none"/>
              </w:rPr>
              <w:t>MySQL</w:t>
            </w:r>
          </w:p>
        </w:tc>
        <w:tc>
          <w:tcPr>
            <w:tcW w:w="1881" w:type="dxa"/>
          </w:tcPr>
          <w:p>
            <w:pPr>
              <w:spacing w:after="0" w:line="240" w:lineRule="auto"/>
              <w:rPr>
                <w:highlight w:val="none"/>
              </w:rPr>
            </w:pPr>
            <w:r>
              <w:rPr>
                <w:rFonts w:ascii="Times New Roman" w:hAnsi="Times New Roman" w:eastAsia="Times New Roman"/>
                <w:sz w:val="18"/>
                <w:highlight w:val="none"/>
              </w:rPr>
              <w:t>4</w:t>
            </w:r>
          </w:p>
        </w:tc>
        <w:tc>
          <w:tcPr>
            <w:tcW w:w="1881" w:type="dxa"/>
          </w:tcPr>
          <w:p>
            <w:pPr>
              <w:spacing w:after="0" w:line="240" w:lineRule="auto"/>
              <w:rPr>
                <w:highlight w:val="none"/>
              </w:rPr>
            </w:pPr>
            <w:r>
              <w:rPr>
                <w:rFonts w:ascii="Times New Roman" w:hAnsi="Times New Roman" w:eastAsia="Times New Roman"/>
                <w:sz w:val="18"/>
                <w:highlight w:val="none"/>
              </w:rPr>
              <w:t>TX_IDCUM 2/4</w:t>
            </w:r>
          </w:p>
        </w:tc>
        <w:tc>
          <w:tcPr>
            <w:tcW w:w="1881" w:type="dxa"/>
          </w:tcPr>
          <w:p>
            <w:pPr>
              <w:spacing w:after="0" w:line="240" w:lineRule="auto"/>
              <w:rPr>
                <w:highlight w:val="none"/>
              </w:rPr>
            </w:pPr>
            <w:r>
              <w:rPr>
                <w:rFonts w:ascii="Times New Roman" w:hAnsi="Times New Roman" w:eastAsia="Times New Roman"/>
                <w:sz w:val="18"/>
                <w:highlight w:val="none"/>
              </w:rPr>
              <w:t>2</w:t>
            </w:r>
          </w:p>
        </w:tc>
        <w:tc>
          <w:tcPr>
            <w:tcW w:w="1881" w:type="dxa"/>
          </w:tcPr>
          <w:p>
            <w:pPr>
              <w:spacing w:after="0" w:line="240" w:lineRule="auto"/>
              <w:rPr>
                <w:highlight w:val="none"/>
                <w:lang w:val="es-PE"/>
              </w:rPr>
            </w:pPr>
            <w:r>
              <w:rPr>
                <w:rFonts w:ascii="Times New Roman" w:hAnsi="Times New Roman" w:eastAsia="Times New Roman"/>
                <w:sz w:val="18"/>
                <w:highlight w:val="none"/>
                <w:lang w:val="es-PE"/>
              </w:rPr>
              <w:t>50 % de filas sin CUM/CAM</w:t>
            </w:r>
          </w:p>
        </w:tc>
      </w:tr>
    </w:tbl>
    <w:p>
      <w:pPr>
        <w:spacing w:after="80"/>
        <w:rPr>
          <w:highlight w:val="none"/>
          <w:lang w:val="es-PE"/>
        </w:rPr>
      </w:pPr>
    </w:p>
    <w:p>
      <w:pPr>
        <w:jc w:val="center"/>
        <w:rPr>
          <w:highlight w:val="none"/>
          <w:lang w:val="es-PE"/>
        </w:rPr>
      </w:pPr>
      <w:r>
        <w:rPr>
          <w:rFonts w:ascii="Times New Roman" w:hAnsi="Times New Roman" w:eastAsia="Times New Roman"/>
          <w:i/>
          <w:sz w:val="20"/>
          <w:highlight w:val="none"/>
          <w:lang w:val="es-PE"/>
        </w:rPr>
        <w:t>Cuadro 7. Completitud y unicidad — multas (corrida 11/08/2026).</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13.1. La evidencia de conteos por FUENTE en REPOCSEP se muestra en la Figura 3:</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14. Consistencia entre universos: La intersección GS1 ∩ GS2 por COD_MA es vacía (universos de OD distintos). La intersección COD_MA ∩ CUM es cero: no son el mismo identificador. El puente por expediente es débil. Las celdas #N/A de Google Sheets se tipificaron como texto en el landing Hop/H2 para evitar fallas de carga cuando el campo era numérico. Los dominios de estado (FG_ESTADOMULTA frente a ACTIVO/INCUMPLIDO) no se homologaron en esta etapa.</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14.1. Síntesis de hallazgos de calidad relevantes para el análisis posterior: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Hallazgo</w:t>
            </w:r>
          </w:p>
        </w:tc>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Universo</w:t>
            </w:r>
          </w:p>
        </w:tc>
        <w:tc>
          <w:tcPr>
            <w:tcW w:w="3135" w:type="dxa"/>
            <w:shd w:val="clear" w:color="auto" w:fill="1F4E79"/>
          </w:tcPr>
          <w:p>
            <w:pPr>
              <w:spacing w:after="0" w:line="240" w:lineRule="auto"/>
              <w:jc w:val="center"/>
              <w:rPr>
                <w:highlight w:val="none"/>
              </w:rPr>
            </w:pPr>
            <w:r>
              <w:rPr>
                <w:rFonts w:ascii="Times New Roman" w:hAnsi="Times New Roman" w:eastAsia="Times New Roman"/>
                <w:b/>
                <w:color w:val="FFFFFF"/>
                <w:sz w:val="18"/>
                <w:highlight w:val="none"/>
              </w:rPr>
              <w:t>Implicancia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GS1: 16 filas / 12 COD_MA distintos</w:t>
            </w:r>
          </w:p>
        </w:tc>
        <w:tc>
          <w:tcPr>
            <w:tcW w:w="3135" w:type="dxa"/>
          </w:tcPr>
          <w:p>
            <w:pPr>
              <w:spacing w:after="0" w:line="240" w:lineRule="auto"/>
              <w:rPr>
                <w:highlight w:val="none"/>
              </w:rPr>
            </w:pPr>
            <w:r>
              <w:rPr>
                <w:rFonts w:ascii="Times New Roman" w:hAnsi="Times New Roman" w:eastAsia="Times New Roman"/>
                <w:sz w:val="18"/>
                <w:highlight w:val="none"/>
              </w:rPr>
              <w:t>Planillas GS1</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Posible duplicado o acto sucesivo; depuración en entregable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GS2: 21 filas / 18 COD_MA distintos</w:t>
            </w:r>
          </w:p>
        </w:tc>
        <w:tc>
          <w:tcPr>
            <w:tcW w:w="3135" w:type="dxa"/>
          </w:tcPr>
          <w:p>
            <w:pPr>
              <w:spacing w:after="0" w:line="240" w:lineRule="auto"/>
              <w:rPr>
                <w:highlight w:val="none"/>
              </w:rPr>
            </w:pPr>
            <w:r>
              <w:rPr>
                <w:rFonts w:ascii="Times New Roman" w:hAnsi="Times New Roman" w:eastAsia="Times New Roman"/>
                <w:sz w:val="18"/>
                <w:highlight w:val="none"/>
              </w:rPr>
              <w:t>Planillas GS2</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Tres códigos repetidos; no desduplicar en UNION de esta etapa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rPr>
                <w:highlight w:val="none"/>
              </w:rPr>
            </w:pPr>
            <w:r>
              <w:rPr>
                <w:rFonts w:ascii="Times New Roman" w:hAnsi="Times New Roman" w:eastAsia="Times New Roman"/>
                <w:sz w:val="18"/>
                <w:highlight w:val="none"/>
              </w:rPr>
              <w:t>Intersección COD_MA ∩ CUM = 0</w:t>
            </w:r>
          </w:p>
        </w:tc>
        <w:tc>
          <w:tcPr>
            <w:tcW w:w="3135" w:type="dxa"/>
          </w:tcPr>
          <w:p>
            <w:pPr>
              <w:spacing w:after="0" w:line="240" w:lineRule="auto"/>
              <w:rPr>
                <w:highlight w:val="none"/>
              </w:rPr>
            </w:pPr>
            <w:r>
              <w:rPr>
                <w:rFonts w:ascii="Times New Roman" w:hAnsi="Times New Roman" w:eastAsia="Times New Roman"/>
                <w:sz w:val="18"/>
                <w:highlight w:val="none"/>
              </w:rPr>
              <w:t>Sheets vs SISUD</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No son el mismo identificador; no INNER JOIN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Intersección GS1 ∩ GS2 por COD_MA vacía</w:t>
            </w:r>
          </w:p>
        </w:tc>
        <w:tc>
          <w:tcPr>
            <w:tcW w:w="3135" w:type="dxa"/>
          </w:tcPr>
          <w:p>
            <w:pPr>
              <w:spacing w:after="0" w:line="240" w:lineRule="auto"/>
              <w:rPr>
                <w:highlight w:val="none"/>
              </w:rPr>
            </w:pPr>
            <w:r>
              <w:rPr>
                <w:rFonts w:ascii="Times New Roman" w:hAnsi="Times New Roman" w:eastAsia="Times New Roman"/>
                <w:sz w:val="18"/>
                <w:highlight w:val="none"/>
              </w:rPr>
              <w:t>Planillas</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Universos de OD distintos; UNION válido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MySQL: 4 filas; 50 % sin CUM/CAM</w:t>
            </w:r>
          </w:p>
        </w:tc>
        <w:tc>
          <w:tcPr>
            <w:tcW w:w="3135" w:type="dxa"/>
          </w:tcPr>
          <w:p>
            <w:pPr>
              <w:spacing w:after="0" w:line="240" w:lineRule="auto"/>
              <w:rPr>
                <w:highlight w:val="none"/>
              </w:rPr>
            </w:pPr>
            <w:r>
              <w:rPr>
                <w:rFonts w:ascii="Times New Roman" w:hAnsi="Times New Roman" w:eastAsia="Times New Roman"/>
                <w:sz w:val="18"/>
                <w:highlight w:val="none"/>
              </w:rPr>
              <w:t>gapps</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Muestra operativa reducida; se conserva con FUENTE=MYSQL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Celdas #N/A en Sheets</w:t>
            </w:r>
          </w:p>
        </w:tc>
        <w:tc>
          <w:tcPr>
            <w:tcW w:w="3135" w:type="dxa"/>
          </w:tcPr>
          <w:p>
            <w:pPr>
              <w:spacing w:after="0" w:line="240" w:lineRule="auto"/>
              <w:rPr>
                <w:highlight w:val="none"/>
              </w:rPr>
            </w:pPr>
            <w:r>
              <w:rPr>
                <w:rFonts w:ascii="Times New Roman" w:hAnsi="Times New Roman" w:eastAsia="Times New Roman"/>
                <w:sz w:val="18"/>
                <w:highlight w:val="none"/>
              </w:rPr>
              <w:t>GS1/GS2</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Landing como texto para no romper Hop; conversión numérica pendiente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TXNUMEXP nulo (muestra de mapeo)</w:t>
            </w:r>
          </w:p>
        </w:tc>
        <w:tc>
          <w:tcPr>
            <w:tcW w:w="3135" w:type="dxa"/>
          </w:tcPr>
          <w:p>
            <w:pPr>
              <w:spacing w:after="0" w:line="240" w:lineRule="auto"/>
              <w:rPr>
                <w:highlight w:val="none"/>
              </w:rPr>
            </w:pPr>
            <w:r>
              <w:rPr>
                <w:rFonts w:ascii="Times New Roman" w:hAnsi="Times New Roman" w:eastAsia="Times New Roman"/>
                <w:sz w:val="18"/>
                <w:highlight w:val="none"/>
              </w:rPr>
              <w:t>Informes</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El puente a expediente de multa no puede asumirse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line="240" w:lineRule="auto"/>
              <w:rPr>
                <w:highlight w:val="none"/>
                <w:lang w:val="es-PE"/>
              </w:rPr>
            </w:pPr>
            <w:r>
              <w:rPr>
                <w:rFonts w:ascii="Times New Roman" w:hAnsi="Times New Roman" w:eastAsia="Times New Roman"/>
                <w:sz w:val="18"/>
                <w:highlight w:val="none"/>
                <w:lang w:val="es-PE"/>
              </w:rPr>
              <w:t>Dominios de estado no homologados</w:t>
            </w:r>
          </w:p>
        </w:tc>
        <w:tc>
          <w:tcPr>
            <w:tcW w:w="3135" w:type="dxa"/>
          </w:tcPr>
          <w:p>
            <w:pPr>
              <w:spacing w:after="0" w:line="240" w:lineRule="auto"/>
              <w:rPr>
                <w:highlight w:val="none"/>
              </w:rPr>
            </w:pPr>
            <w:r>
              <w:rPr>
                <w:rFonts w:ascii="Times New Roman" w:hAnsi="Times New Roman" w:eastAsia="Times New Roman"/>
                <w:sz w:val="18"/>
                <w:highlight w:val="none"/>
              </w:rPr>
              <w:t>Multas e informes</w:t>
            </w:r>
          </w:p>
        </w:tc>
        <w:tc>
          <w:tcPr>
            <w:tcW w:w="3135" w:type="dxa"/>
          </w:tcPr>
          <w:p>
            <w:pPr>
              <w:spacing w:after="0" w:line="240" w:lineRule="auto"/>
              <w:rPr>
                <w:highlight w:val="none"/>
                <w:lang w:val="es-PE"/>
              </w:rPr>
            </w:pPr>
            <w:r>
              <w:rPr>
                <w:rFonts w:ascii="Times New Roman" w:hAnsi="Times New Roman" w:eastAsia="Times New Roman"/>
                <w:sz w:val="18"/>
                <w:highlight w:val="none"/>
                <w:lang w:val="es-PE"/>
              </w:rPr>
              <w:t>FG_ESTADOMULTA vs ACTIVO/INCUMPLIDO; TXTIPSUP y TXRECOMENDACION</w:t>
            </w:r>
          </w:p>
        </w:tc>
      </w:tr>
    </w:tbl>
    <w:p>
      <w:pPr>
        <w:spacing w:after="80"/>
        <w:rPr>
          <w:highlight w:val="none"/>
          <w:lang w:val="es-PE"/>
        </w:rPr>
      </w:pPr>
    </w:p>
    <w:p>
      <w:pPr>
        <w:jc w:val="center"/>
        <w:rPr>
          <w:highlight w:val="none"/>
          <w:lang w:val="es-PE"/>
        </w:rPr>
      </w:pPr>
      <w:r>
        <w:rPr>
          <w:rFonts w:ascii="Times New Roman" w:hAnsi="Times New Roman" w:eastAsia="Times New Roman"/>
          <w:i/>
          <w:sz w:val="20"/>
          <w:highlight w:val="none"/>
          <w:lang w:val="es-PE"/>
        </w:rPr>
        <w:t>Cuadro 8. Diagnóstico de calidad (síntesis del literal c).</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15. Calidad en informes: La llave natural es IDACTIVIDAD. El riesgo estructural más relevante para el análisis futuro es la alta proporción de TXNUMEXP nulo observada en la muestra de mapeo: el puente hacia NUMERO_EXPEDIENTE o EXP_INF_INCUMP de multas no puede asumirse. Asimismo, TXTIPSUP, TXPRY_ESTADO y TXRECOMENDACION presentan dominios que deberán homologarse en la depuración del Segundo Entregable.</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16. Implicancia para el análisis: La información permite un análisis posterior siempre que se separen los universos (planillas vs SISUD; informes vs multas). Mezclarlos en un solo recuento de “multas” o sumar 626 + N_informes como un único universo sesgaría indicadores. La depuración normativa y los controles de trazabilidad origen–STG–RPT corresponden a los literales d) y e). Hasta validar cobertura de puente con el área usuaria, los tableros deben filtrar por hecho y por FUENTE.</w:t>
      </w:r>
    </w:p>
    <w:p>
      <w:pPr>
        <w:spacing w:after="160" w:line="300" w:lineRule="auto"/>
        <w:ind w:firstLine="567"/>
        <w:jc w:val="both"/>
        <w:rPr>
          <w:rFonts w:ascii="Times New Roman" w:hAnsi="Times New Roman" w:eastAsia="Times New Roman"/>
          <w:sz w:val="24"/>
          <w:highlight w:val="none"/>
          <w:lang w:val="es-PE"/>
        </w:rPr>
      </w:pPr>
      <w:r>
        <w:rPr>
          <w:rFonts w:ascii="Times New Roman" w:hAnsi="Times New Roman" w:eastAsia="Times New Roman"/>
          <w:sz w:val="24"/>
          <w:highlight w:val="none"/>
          <w:lang w:val="es-PE"/>
        </w:rPr>
        <w:t xml:space="preserve">17. Sustento de la actividad: Como sustento de la Actividad c) del presente informe, se han elaborado el Anexo C-1: “Diagnóstico de calidad de la información consolidada” y el Anexo C-2 </w:t>
      </w:r>
    </w:p>
    <w:p>
      <w:pPr>
        <w:spacing w:after="160" w:line="300" w:lineRule="auto"/>
        <w:jc w:val="both"/>
        <w:rPr>
          <w:highlight w:val="none"/>
          <w:lang w:val="es-PE"/>
        </w:rPr>
      </w:pPr>
      <w:r>
        <w:rPr>
          <w:rFonts w:ascii="Times New Roman" w:hAnsi="Times New Roman" w:eastAsia="Times New Roman"/>
          <w:sz w:val="24"/>
          <w:highlight w:val="none"/>
          <w:lang w:val="es-PE"/>
        </w:rPr>
        <w:t>Dichos anexos se encuentran en la carpeta “Actividad C” del adjunto “Anexos Informe 1”.</w:t>
      </w:r>
    </w:p>
    <w:p>
      <w:pPr>
        <w:spacing w:before="160" w:after="160" w:line="300" w:lineRule="auto"/>
        <w:ind w:firstLine="567"/>
        <w:jc w:val="both"/>
        <w:rPr>
          <w:highlight w:val="none"/>
          <w:lang w:val="es-PE"/>
        </w:rPr>
      </w:pPr>
      <w:r>
        <w:rPr>
          <w:rFonts w:ascii="Times New Roman" w:hAnsi="Times New Roman" w:eastAsia="Times New Roman"/>
          <w:sz w:val="24"/>
          <w:highlight w:val="none"/>
          <w:lang w:val="es-PE"/>
        </w:rPr>
        <w:t>18. En ese sentido, se ha dado cumplimiento a las actividades a), b) y c) correspondientes al Primer Entregable de la Orden de Servicio N° 02772-2026-s, conforme a lo establecido en los términos de referencia.</w:t>
      </w:r>
    </w:p>
    <w:p>
      <w:pPr>
        <w:spacing w:before="280" w:after="160" w:line="300" w:lineRule="auto"/>
        <w:rPr>
          <w:highlight w:val="none"/>
          <w:lang w:val="es-PE"/>
        </w:rPr>
      </w:pPr>
      <w:r>
        <w:rPr>
          <w:rFonts w:ascii="Times New Roman" w:hAnsi="Times New Roman" w:eastAsia="Times New Roman"/>
          <w:b/>
          <w:sz w:val="24"/>
          <w:highlight w:val="none"/>
          <w:lang w:val="es-PE"/>
        </w:rPr>
        <w:t>III. CONCLUSIONES</w:t>
      </w:r>
    </w:p>
    <w:p>
      <w:pPr>
        <w:spacing w:after="160" w:line="300" w:lineRule="auto"/>
        <w:ind w:firstLine="567"/>
        <w:jc w:val="both"/>
        <w:rPr>
          <w:highlight w:val="none"/>
          <w:lang w:val="es-PE"/>
        </w:rPr>
      </w:pPr>
      <w:r>
        <w:rPr>
          <w:rFonts w:ascii="Times New Roman" w:hAnsi="Times New Roman" w:eastAsia="Times New Roman"/>
          <w:sz w:val="24"/>
          <w:highlight w:val="none"/>
          <w:lang w:val="es-PE"/>
        </w:rPr>
        <w:t>19. Se consolidó e integró la información de informes de supervisión y multas coercitivas mediante un flujo ETL reproducible (proyecto multa_etl / wf_staging.hwf), depositando el landing en seis tablas STG_* de H2 in-memory y produciendo dos hechos analíticos en Oracle REPOCSEP: RPT_MULTA_COERCITIVA (626 filas en la corrida de referencia del 11 de agosto de 2026, UNION con columna FUENTE) y RPT_INFORME_SUPERVISION (carga Hop-only, grano IDACTIVIDAD). Con ello se cumplió la actividad a).</w:t>
      </w:r>
    </w:p>
    <w:p>
      <w:pPr>
        <w:spacing w:after="160" w:line="300" w:lineRule="auto"/>
        <w:ind w:firstLine="567"/>
        <w:jc w:val="both"/>
        <w:rPr>
          <w:highlight w:val="none"/>
          <w:lang w:val="es-PE"/>
        </w:rPr>
      </w:pPr>
      <w:r>
        <w:rPr>
          <w:rFonts w:ascii="Times New Roman" w:hAnsi="Times New Roman" w:eastAsia="Times New Roman"/>
          <w:sz w:val="24"/>
          <w:highlight w:val="none"/>
          <w:lang w:val="es-PE"/>
        </w:rPr>
        <w:t>20. Se revisó la estructura y el contenido de las bases disponibles, documentando grano, llaves naturales (COD_MA, COD_PROY_MC, CUM, IDACTIVIDAD), correspondencia de campos, criterios de clasificación, periodos observables e indicadores tentativos. Queda constancia de que informe y multa no comparten grano ni, por ahora, una llave unívoca de cruce. Con ello se cumplió la actividad b).</w:t>
      </w:r>
    </w:p>
    <w:p>
      <w:pPr>
        <w:spacing w:after="160" w:line="300" w:lineRule="auto"/>
        <w:ind w:firstLine="567"/>
        <w:jc w:val="both"/>
        <w:rPr>
          <w:highlight w:val="none"/>
          <w:lang w:val="es-PE"/>
        </w:rPr>
      </w:pPr>
      <w:r>
        <w:rPr>
          <w:rFonts w:ascii="Times New Roman" w:hAnsi="Times New Roman" w:eastAsia="Times New Roman"/>
          <w:sz w:val="24"/>
          <w:highlight w:val="none"/>
          <w:lang w:val="es-PE"/>
        </w:rPr>
        <w:t>21. Se validó la completitud, consistencia y coherencia de la información, cuantificando duplicados (GS1: 16/12; GS2: 21/18), nulos (MySQL: 50 % sin CUM/CAM), celdas #N/A, la no equivalencia COD_MA–CUM (intersección cero) y el riesgo de TXNUMEXP nulo en informes. El diagnóstico deja insumos para la depuración y los controles de trazabilidad del Segundo Entregable. Con ello se cumplió la actividad c).</w:t>
      </w:r>
    </w:p>
    <w:p>
      <w:pPr>
        <w:spacing w:after="160" w:line="300" w:lineRule="auto"/>
        <w:ind w:firstLine="567"/>
        <w:jc w:val="both"/>
        <w:rPr>
          <w:rFonts w:ascii="Times New Roman" w:hAnsi="Times New Roman" w:eastAsia="Times New Roman"/>
          <w:sz w:val="24"/>
          <w:highlight w:val="none"/>
          <w:lang w:val="es-PE"/>
        </w:rPr>
      </w:pPr>
      <w:r>
        <w:rPr>
          <w:rFonts w:ascii="Times New Roman" w:hAnsi="Times New Roman" w:eastAsia="Times New Roman"/>
          <w:sz w:val="24"/>
          <w:highlight w:val="none"/>
          <w:lang w:val="es-PE"/>
        </w:rPr>
        <w:t>22. La consolidación UNION de multas con trazabilidad FUENTE y la carga 1:1 de informes son técnicamente adecuadas para el Primer Entregable: no se pierde información, se preserva el origen y se evita un cruce inválido que distorsionaría la evaluación posterior de efectividad. El diseño de capas bronze / silver / gold documentado en las Figuras 4 y 6 prepara los entregables 2 y 3 sin adelantar los literales d) a h).</w:t>
      </w: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after="160" w:line="300" w:lineRule="auto"/>
        <w:ind w:firstLine="567"/>
        <w:jc w:val="both"/>
        <w:rPr>
          <w:rFonts w:ascii="Times New Roman" w:hAnsi="Times New Roman" w:eastAsia="Times New Roman"/>
          <w:sz w:val="24"/>
          <w:highlight w:val="none"/>
          <w:lang w:val="es-PE"/>
        </w:rPr>
      </w:pPr>
    </w:p>
    <w:p>
      <w:pPr>
        <w:spacing w:before="280" w:after="160" w:line="300" w:lineRule="auto"/>
        <w:rPr>
          <w:highlight w:val="none"/>
          <w:lang w:val="es-PE"/>
        </w:rPr>
      </w:pPr>
      <w:r>
        <w:rPr>
          <w:rFonts w:ascii="Times New Roman" w:hAnsi="Times New Roman" w:eastAsia="Times New Roman"/>
          <w:b/>
          <w:sz w:val="24"/>
          <w:highlight w:val="none"/>
          <w:lang w:val="es-PE"/>
        </w:rPr>
        <w:t>IV. ANEXOS</w:t>
      </w:r>
    </w:p>
    <w:p>
      <w:pPr>
        <w:spacing w:after="40" w:line="300" w:lineRule="auto"/>
        <w:rPr>
          <w:highlight w:val="none"/>
          <w:lang w:val="es-PE"/>
        </w:rPr>
      </w:pPr>
      <w:r>
        <w:rPr>
          <w:rFonts w:ascii="Times New Roman" w:hAnsi="Times New Roman" w:eastAsia="Times New Roman"/>
          <w:b/>
          <w:sz w:val="24"/>
          <w:highlight w:val="none"/>
          <w:lang w:val="es-PE"/>
        </w:rPr>
        <w:t>Actividad a)</w:t>
      </w:r>
    </w:p>
    <w:p>
      <w:pPr>
        <w:spacing w:after="80" w:line="300" w:lineRule="auto"/>
        <w:jc w:val="both"/>
        <w:rPr>
          <w:highlight w:val="none"/>
          <w:lang w:val="es-PE"/>
        </w:rPr>
      </w:pPr>
      <w:r>
        <w:rPr>
          <w:rFonts w:ascii="Times New Roman" w:hAnsi="Times New Roman" w:eastAsia="Times New Roman"/>
          <w:sz w:val="24"/>
          <w:highlight w:val="none"/>
          <w:lang w:val="es-PE"/>
        </w:rPr>
        <w:t>Consolidar la información relacionada con las estrategias de promoción del cumplimiento contenidas en los informes de supervisión y multas coercitivas.</w:t>
      </w:r>
    </w:p>
    <w:p>
      <w:pPr>
        <w:spacing w:after="20" w:line="300" w:lineRule="auto"/>
        <w:rPr>
          <w:highlight w:val="none"/>
          <w:lang w:val="es-PE"/>
        </w:rPr>
      </w:pPr>
      <w:r>
        <w:rPr>
          <w:rFonts w:ascii="Times New Roman" w:hAnsi="Times New Roman" w:eastAsia="Times New Roman"/>
          <w:sz w:val="24"/>
          <w:highlight w:val="none"/>
          <w:lang w:val="es-PE"/>
        </w:rPr>
        <w:t>· Anexo A-1: Inventario de fuentes y artefactos del proyecto multa_etl.docx</w:t>
      </w:r>
    </w:p>
    <w:p>
      <w:pPr>
        <w:spacing w:after="160" w:line="300" w:lineRule="auto"/>
        <w:rPr>
          <w:highlight w:val="none"/>
          <w:lang w:val="es-PE"/>
        </w:rPr>
      </w:pPr>
      <w:r>
        <w:rPr>
          <w:rFonts w:ascii="Times New Roman" w:hAnsi="Times New Roman" w:eastAsia="Times New Roman"/>
          <w:sz w:val="24"/>
          <w:highlight w:val="none"/>
          <w:lang w:val="es-PE"/>
        </w:rPr>
        <w:t>· Anexo A-2: Evidencias gráficas del flujo ETL</w:t>
      </w:r>
      <w:r>
        <w:rPr>
          <w:rFonts w:hint="default" w:ascii="Times New Roman" w:hAnsi="Times New Roman" w:eastAsia="Times New Roman"/>
          <w:sz w:val="24"/>
          <w:highlight w:val="none"/>
          <w:lang/>
        </w:rPr>
        <w:t xml:space="preserve">  </w:t>
      </w:r>
      <w:bookmarkStart w:id="0" w:name="_GoBack"/>
      <w:bookmarkEnd w:id="0"/>
      <w:r>
        <w:rPr>
          <w:rFonts w:ascii="Times New Roman" w:hAnsi="Times New Roman" w:eastAsia="Times New Roman"/>
          <w:sz w:val="24"/>
          <w:highlight w:val="none"/>
          <w:lang w:val="es-PE"/>
        </w:rPr>
        <w:t>(Carpeta)</w:t>
      </w:r>
    </w:p>
    <w:p>
      <w:pPr>
        <w:spacing w:after="40" w:line="300" w:lineRule="auto"/>
        <w:rPr>
          <w:highlight w:val="none"/>
          <w:lang w:val="es-PE"/>
        </w:rPr>
      </w:pPr>
      <w:r>
        <w:rPr>
          <w:rFonts w:ascii="Times New Roman" w:hAnsi="Times New Roman" w:eastAsia="Times New Roman"/>
          <w:b/>
          <w:sz w:val="24"/>
          <w:highlight w:val="none"/>
          <w:lang w:val="es-PE"/>
        </w:rPr>
        <w:t>Actividad b)</w:t>
      </w:r>
    </w:p>
    <w:p>
      <w:pPr>
        <w:spacing w:after="80" w:line="300" w:lineRule="auto"/>
        <w:jc w:val="both"/>
        <w:rPr>
          <w:highlight w:val="none"/>
          <w:lang w:val="es-PE"/>
        </w:rPr>
      </w:pPr>
      <w:r>
        <w:rPr>
          <w:rFonts w:ascii="Times New Roman" w:hAnsi="Times New Roman" w:eastAsia="Times New Roman"/>
          <w:sz w:val="24"/>
          <w:highlight w:val="none"/>
          <w:lang w:val="es-PE"/>
        </w:rPr>
        <w:t>Revisar la estructura y contenido de las bases de datos disponibles.</w:t>
      </w:r>
    </w:p>
    <w:p>
      <w:pPr>
        <w:spacing w:after="160" w:line="300" w:lineRule="auto"/>
        <w:rPr>
          <w:highlight w:val="none"/>
          <w:lang w:val="es-PE"/>
        </w:rPr>
      </w:pPr>
      <w:r>
        <w:rPr>
          <w:rFonts w:ascii="Times New Roman" w:hAnsi="Times New Roman" w:eastAsia="Times New Roman"/>
          <w:sz w:val="24"/>
          <w:highlight w:val="none"/>
          <w:lang w:val="es-PE"/>
        </w:rPr>
        <w:t>· Anexo B-1: Estructura, grano, llaves y correspondencia de campos.docx</w:t>
      </w:r>
    </w:p>
    <w:p>
      <w:pPr>
        <w:spacing w:after="40" w:line="300" w:lineRule="auto"/>
        <w:rPr>
          <w:highlight w:val="none"/>
          <w:lang w:val="es-PE"/>
        </w:rPr>
      </w:pPr>
      <w:r>
        <w:rPr>
          <w:rFonts w:ascii="Times New Roman" w:hAnsi="Times New Roman" w:eastAsia="Times New Roman"/>
          <w:b/>
          <w:sz w:val="24"/>
          <w:highlight w:val="none"/>
          <w:lang w:val="es-PE"/>
        </w:rPr>
        <w:t>Actividad c)</w:t>
      </w:r>
    </w:p>
    <w:p>
      <w:pPr>
        <w:spacing w:after="80" w:line="300" w:lineRule="auto"/>
        <w:jc w:val="both"/>
        <w:rPr>
          <w:highlight w:val="none"/>
          <w:lang w:val="es-PE"/>
        </w:rPr>
      </w:pPr>
      <w:r>
        <w:rPr>
          <w:rFonts w:ascii="Times New Roman" w:hAnsi="Times New Roman" w:eastAsia="Times New Roman"/>
          <w:sz w:val="24"/>
          <w:highlight w:val="none"/>
          <w:lang w:val="es-PE"/>
        </w:rPr>
        <w:t>Validar la completitud, consistencia y coherencia de la información recopilada.</w:t>
      </w:r>
    </w:p>
    <w:p>
      <w:pPr>
        <w:spacing w:after="20" w:line="300" w:lineRule="auto"/>
        <w:rPr>
          <w:highlight w:val="none"/>
          <w:lang w:val="es-PE"/>
        </w:rPr>
      </w:pPr>
      <w:r>
        <w:rPr>
          <w:rFonts w:ascii="Times New Roman" w:hAnsi="Times New Roman" w:eastAsia="Times New Roman"/>
          <w:sz w:val="24"/>
          <w:highlight w:val="none"/>
          <w:lang w:val="es-PE"/>
        </w:rPr>
        <w:t>· Anexo C-1: Diagnóstico de calidad de la información consolidada.docx</w:t>
      </w:r>
    </w:p>
    <w:p>
      <w:pPr>
        <w:spacing w:after="240" w:line="300" w:lineRule="auto"/>
        <w:rPr>
          <w:highlight w:val="none"/>
          <w:lang w:val="es-PE"/>
        </w:rPr>
      </w:pPr>
      <w:r>
        <w:rPr>
          <w:rFonts w:ascii="Times New Roman" w:hAnsi="Times New Roman" w:eastAsia="Times New Roman"/>
          <w:sz w:val="24"/>
          <w:highlight w:val="none"/>
          <w:lang w:val="es-PE"/>
        </w:rPr>
        <w:t>· Anexo C-2: Evidencias gráficas de volúmenes y capas de datos (Carpeta)</w:t>
      </w:r>
    </w:p>
    <w:p>
      <w:pPr>
        <w:spacing w:before="120" w:after="160" w:line="300" w:lineRule="auto"/>
        <w:ind w:firstLine="567"/>
        <w:jc w:val="both"/>
        <w:rPr>
          <w:rFonts w:ascii="Times New Roman" w:hAnsi="Times New Roman" w:eastAsia="Times New Roman"/>
          <w:sz w:val="24"/>
          <w:highlight w:val="none"/>
          <w:lang w:val="es-PE"/>
        </w:rPr>
      </w:pPr>
      <w:r>
        <w:rPr>
          <w:rFonts w:ascii="Times New Roman" w:hAnsi="Times New Roman" w:eastAsia="Times New Roman"/>
          <w:sz w:val="24"/>
          <w:highlight w:val="none"/>
          <w:lang w:val="es-PE"/>
        </w:rPr>
        <w:t>Es cuanto informo a usted, para los fines pertinentes.</w:t>
      </w:r>
    </w:p>
    <w:p>
      <w:pPr>
        <w:spacing w:before="120" w:after="160" w:line="300" w:lineRule="auto"/>
        <w:ind w:firstLine="567"/>
        <w:jc w:val="both"/>
        <w:rPr>
          <w:rFonts w:ascii="Times New Roman" w:hAnsi="Times New Roman" w:eastAsia="Times New Roman"/>
          <w:sz w:val="24"/>
          <w:highlight w:val="none"/>
          <w:lang w:val="es-PE"/>
        </w:rPr>
      </w:pPr>
    </w:p>
    <w:p>
      <w:pPr>
        <w:spacing w:before="120" w:after="160" w:line="300" w:lineRule="auto"/>
        <w:ind w:firstLine="567"/>
        <w:jc w:val="both"/>
        <w:rPr>
          <w:rFonts w:ascii="Times New Roman" w:hAnsi="Times New Roman" w:eastAsia="Times New Roman"/>
          <w:sz w:val="24"/>
          <w:highlight w:val="none"/>
          <w:lang w:val="es-PE"/>
        </w:rPr>
      </w:pPr>
    </w:p>
    <w:p>
      <w:pPr>
        <w:spacing w:before="120" w:after="160" w:line="300" w:lineRule="auto"/>
        <w:ind w:firstLine="567"/>
        <w:jc w:val="center"/>
        <w:rPr>
          <w:rFonts w:ascii="Times New Roman" w:hAnsi="Times New Roman" w:eastAsia="Times New Roman"/>
          <w:sz w:val="24"/>
          <w:highlight w:val="none"/>
        </w:rPr>
      </w:pPr>
      <w:r>
        <w:rPr>
          <w:highlight w:val="none"/>
        </w:rPr>
        <w:drawing>
          <wp:inline distT="0" distB="0" distL="114300" distR="114300">
            <wp:extent cx="1581150" cy="70485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1581150" cy="704850"/>
                    </a:xfrm>
                    <a:prstGeom prst="rect">
                      <a:avLst/>
                    </a:prstGeom>
                    <a:noFill/>
                    <a:ln>
                      <a:noFill/>
                    </a:ln>
                  </pic:spPr>
                </pic:pic>
              </a:graphicData>
            </a:graphic>
          </wp:inline>
        </w:drawing>
      </w:r>
    </w:p>
    <w:p>
      <w:pPr>
        <w:spacing w:after="0" w:line="300" w:lineRule="auto"/>
        <w:jc w:val="center"/>
        <w:rPr>
          <w:highlight w:val="none"/>
          <w:lang w:val="es-PE"/>
        </w:rPr>
      </w:pPr>
      <w:r>
        <w:rPr>
          <w:rFonts w:ascii="Times New Roman" w:hAnsi="Times New Roman" w:eastAsia="Times New Roman"/>
          <w:b/>
          <w:sz w:val="24"/>
          <w:highlight w:val="none"/>
          <w:lang w:val="es-PE"/>
        </w:rPr>
        <w:t>EDER OSWALDO ORTEGA GONZALES</w:t>
      </w:r>
    </w:p>
    <w:p>
      <w:pPr>
        <w:spacing w:after="0" w:line="300" w:lineRule="auto"/>
        <w:jc w:val="center"/>
        <w:rPr>
          <w:rFonts w:hint="default" w:ascii="Times New Roman" w:hAnsi="Times New Roman" w:eastAsia="Times New Roman"/>
          <w:sz w:val="24"/>
          <w:highlight w:val="none"/>
        </w:rPr>
      </w:pPr>
      <w:r>
        <w:rPr>
          <w:rFonts w:ascii="Times New Roman" w:hAnsi="Times New Roman" w:eastAsia="Times New Roman"/>
          <w:sz w:val="24"/>
          <w:highlight w:val="none"/>
          <w:lang w:val="es-PE"/>
        </w:rPr>
        <w:t>DNI</w:t>
      </w:r>
      <w:r>
        <w:rPr>
          <w:rFonts w:hint="default" w:ascii="Times New Roman" w:hAnsi="Times New Roman" w:eastAsia="Times New Roman"/>
          <w:sz w:val="24"/>
          <w:highlight w:val="none"/>
        </w:rPr>
        <w:t>: 42202029</w:t>
      </w:r>
    </w:p>
    <w:p>
      <w:pPr>
        <w:spacing w:after="0" w:line="300" w:lineRule="auto"/>
        <w:jc w:val="center"/>
        <w:rPr>
          <w:highlight w:val="none"/>
          <w:lang w:val="es-PE"/>
        </w:rPr>
      </w:pPr>
      <w:r>
        <w:rPr>
          <w:rFonts w:ascii="Times New Roman" w:hAnsi="Times New Roman" w:eastAsia="Times New Roman"/>
          <w:sz w:val="24"/>
          <w:highlight w:val="none"/>
          <w:lang w:val="es-PE"/>
        </w:rPr>
        <w:t>RUC: 10422020298</w:t>
      </w:r>
    </w:p>
    <w:p>
      <w:pPr>
        <w:spacing w:after="0" w:line="300" w:lineRule="auto"/>
        <w:jc w:val="center"/>
        <w:rPr>
          <w:highlight w:val="none"/>
        </w:rPr>
      </w:pPr>
      <w:r>
        <w:rPr>
          <w:rFonts w:ascii="Times New Roman" w:hAnsi="Times New Roman" w:eastAsia="Times New Roman"/>
          <w:sz w:val="24"/>
          <w:highlight w:val="none"/>
        </w:rPr>
        <w:t>Atentamente.</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fa Slab One"/>
    <w:panose1 w:val="05000000000000000000"/>
    <w:charset w:val="00"/>
    <w:family w:val="auto"/>
    <w:pitch w:val="default"/>
    <w:sig w:usb0="00000000" w:usb1="10000000" w:usb2="00000000" w:usb3="00000000" w:csb0="80000000" w:csb1="00000000"/>
  </w:font>
  <w:font w:name="Alfa Slab One">
    <w:panose1 w:val="00000500000000000000"/>
    <w:charset w:val="00"/>
    <w:family w:val="auto"/>
    <w:pitch w:val="default"/>
    <w:sig w:usb0="20000007" w:usb1="00000001" w:usb2="00000000" w:usb3="00000000" w:csb0="2000019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Droid Sans Fallback"/>
    <w:panose1 w:val="00000000000000000000"/>
    <w:charset w:val="86"/>
    <w:family w:val="auto"/>
    <w:pitch w:val="default"/>
    <w:sig w:usb0="00000000" w:usb1="00000000" w:usb2="00000000" w:usb3="00000000" w:csb0="0000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Alfa Slab One"/>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Courier">
    <w:altName w:val="Liberation Mono"/>
    <w:panose1 w:val="02070409020205020404"/>
    <w:charset w:val="00"/>
    <w:family w:val="auto"/>
    <w:pitch w:val="default"/>
    <w:sig w:usb0="00000000" w:usb1="00000000" w:usb2="00000000" w:usb3="00000000" w:csb0="00000001" w:csb1="00000000"/>
  </w:font>
  <w:font w:name="Liberation Mono">
    <w:panose1 w:val="02070409020205020404"/>
    <w:charset w:val="00"/>
    <w:family w:val="auto"/>
    <w:pitch w:val="default"/>
    <w:sig w:usb0="E0000AFF" w:usb1="400078FF" w:usb2="00000001" w:usb3="00000000" w:csb0="600001BF" w:csb1="DFF70000"/>
  </w:font>
  <w:font w:name="ＭＳ 明朝">
    <w:altName w:val="Alfa Slab On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078C"/>
    <w:rsid w:val="00687488"/>
    <w:rsid w:val="00A43860"/>
    <w:rsid w:val="00AA1D8D"/>
    <w:rsid w:val="00B47730"/>
    <w:rsid w:val="00C0773F"/>
    <w:rsid w:val="00CB0664"/>
    <w:rsid w:val="00FC693F"/>
    <w:rsid w:val="2DBF18E7"/>
    <w:rsid w:val="3BFE499F"/>
    <w:rsid w:val="589D3E36"/>
    <w:rsid w:val="77ED06E7"/>
    <w:rsid w:val="7E5FF8F1"/>
    <w:rsid w:val="7FDED62C"/>
    <w:rsid w:val="8FF17E61"/>
    <w:rsid w:val="F77CE8A3"/>
    <w:rsid w:val="FD632237"/>
    <w:rsid w:val="FFAF145D"/>
    <w:rsid w:val="FFBF83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Encabezado Car"/>
    <w:basedOn w:val="11"/>
    <w:link w:val="19"/>
    <w:qFormat/>
    <w:uiPriority w:val="99"/>
  </w:style>
  <w:style w:type="character" w:customStyle="1" w:styleId="136">
    <w:name w:val="Pie de página C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Título 1 C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Título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Título 3 C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ítulo C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ítulo C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Texto independiente Car"/>
    <w:basedOn w:val="11"/>
    <w:link w:val="13"/>
    <w:qFormat/>
    <w:uiPriority w:val="99"/>
  </w:style>
  <w:style w:type="character" w:customStyle="1" w:styleId="145">
    <w:name w:val="Texto independiente 2 Car"/>
    <w:basedOn w:val="11"/>
    <w:link w:val="14"/>
    <w:qFormat/>
    <w:uiPriority w:val="99"/>
  </w:style>
  <w:style w:type="character" w:customStyle="1" w:styleId="146">
    <w:name w:val="Texto independiente 3 Car"/>
    <w:basedOn w:val="11"/>
    <w:link w:val="15"/>
    <w:qFormat/>
    <w:uiPriority w:val="99"/>
    <w:rPr>
      <w:sz w:val="16"/>
      <w:szCs w:val="16"/>
    </w:rPr>
  </w:style>
  <w:style w:type="character" w:customStyle="1" w:styleId="147">
    <w:name w:val="Texto macro C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Cita Car"/>
    <w:basedOn w:val="11"/>
    <w:link w:val="148"/>
    <w:qFormat/>
    <w:uiPriority w:val="29"/>
    <w:rPr>
      <w:i/>
      <w:iCs/>
      <w:color w:val="000000" w:themeColor="text1"/>
      <w14:textFill>
        <w14:solidFill>
          <w14:schemeClr w14:val="tx1"/>
        </w14:solidFill>
      </w14:textFill>
    </w:rPr>
  </w:style>
  <w:style w:type="character" w:customStyle="1" w:styleId="150">
    <w:name w:val="Título 4 C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Título 5 C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Título 6 C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Título 7 C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Título 8 C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Título 9 C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Cita destacada Car"/>
    <w:basedOn w:val="11"/>
    <w:link w:val="156"/>
    <w:qFormat/>
    <w:uiPriority w:val="30"/>
    <w:rPr>
      <w:b/>
      <w:bCs/>
      <w:i/>
      <w:iCs/>
      <w:color w:val="4F81BD" w:themeColor="accent1"/>
      <w14:textFill>
        <w14:solidFill>
          <w14:schemeClr w14:val="accent1"/>
        </w14:solidFill>
      </w14:textFill>
    </w:rPr>
  </w:style>
  <w:style w:type="character" w:customStyle="1" w:styleId="158">
    <w:name w:val="Énfasis sutil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Énfasis intenso1"/>
    <w:basedOn w:val="11"/>
    <w:qFormat/>
    <w:uiPriority w:val="21"/>
    <w:rPr>
      <w:b/>
      <w:bCs/>
      <w:i/>
      <w:iCs/>
      <w:color w:val="4F81BD" w:themeColor="accent1"/>
      <w14:textFill>
        <w14:solidFill>
          <w14:schemeClr w14:val="accent1"/>
        </w14:solidFill>
      </w14:textFill>
    </w:rPr>
  </w:style>
  <w:style w:type="character" w:customStyle="1" w:styleId="160">
    <w:name w:val="Referencia sutil1"/>
    <w:basedOn w:val="11"/>
    <w:qFormat/>
    <w:uiPriority w:val="31"/>
    <w:rPr>
      <w:smallCaps/>
      <w:color w:val="C0504D" w:themeColor="accent2"/>
      <w:u w:val="single"/>
      <w14:textFill>
        <w14:solidFill>
          <w14:schemeClr w14:val="accent2"/>
        </w14:solidFill>
      </w14:textFill>
    </w:rPr>
  </w:style>
  <w:style w:type="character" w:customStyle="1" w:styleId="161">
    <w:name w:val="Referencia intensa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Título del libro1"/>
    <w:basedOn w:val="11"/>
    <w:qFormat/>
    <w:uiPriority w:val="33"/>
    <w:rPr>
      <w:b/>
      <w:bCs/>
      <w:smallCaps/>
      <w:spacing w:val="5"/>
    </w:rPr>
  </w:style>
  <w:style w:type="paragraph" w:customStyle="1" w:styleId="163">
    <w:name w:val="Título TDC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3238</Words>
  <Characters>17812</Characters>
  <Lines>148</Lines>
  <Paragraphs>42</Paragraphs>
  <TotalTime>13</TotalTime>
  <ScaleCrop>false</ScaleCrop>
  <LinksUpToDate>false</LinksUpToDate>
  <CharactersWithSpaces>21008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2013-12-22T17:15:00Z</dcterms:created>
  <dc:creator>python-docx</dc:creator>
  <dc:description>generated by python-docx</dc:description>
  <cp:lastModifiedBy>eder</cp:lastModifiedBy>
  <dcterms:modified xsi:type="dcterms:W3CDTF">2026-08-14T17:47:25Z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