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276" w:lineRule="auto"/>
        <w:jc w:val="left"/>
      </w:pPr>
      <w:r>
        <w:rPr>
          <w:rFonts w:ascii="Arial" w:hAnsi="Arial" w:eastAsia="Arial"/>
          <w:b w:val="0"/>
          <w:sz w:val="22"/>
        </w:rPr>
        <w:t>Lima, 09 de septiembre de 2026</w:t>
      </w:r>
    </w:p>
    <w:p>
      <w:pPr>
        <w:spacing w:before="120" w:after="120" w:line="276" w:lineRule="auto"/>
        <w:jc w:val="left"/>
      </w:pPr>
      <w:r>
        <w:rPr>
          <w:rFonts w:ascii="Arial" w:hAnsi="Arial" w:eastAsia="Arial"/>
          <w:b/>
          <w:sz w:val="22"/>
        </w:rPr>
        <w:t>CARTA N° 002-2026-EOOG</w:t>
      </w:r>
    </w:p>
    <w:p>
      <w:pPr>
        <w:spacing w:before="0" w:after="120" w:line="276" w:lineRule="auto"/>
        <w:jc w:val="both"/>
      </w:pPr>
    </w:p>
    <w:p>
      <w:pPr>
        <w:spacing w:before="0" w:after="120" w:line="276" w:lineRule="auto"/>
        <w:jc w:val="left"/>
      </w:pPr>
      <w:r>
        <w:rPr>
          <w:rFonts w:ascii="Arial" w:hAnsi="Arial" w:eastAsia="Arial"/>
          <w:b w:val="0"/>
          <w:sz w:val="22"/>
        </w:rPr>
        <w:t>Señor:</w:t>
      </w:r>
    </w:p>
    <w:p>
      <w:pPr>
        <w:spacing w:before="0" w:after="120" w:line="276" w:lineRule="auto"/>
        <w:jc w:val="left"/>
      </w:pPr>
      <w:r>
        <w:rPr>
          <w:rFonts w:ascii="Arial" w:hAnsi="Arial" w:eastAsia="Arial"/>
          <w:b/>
          <w:sz w:val="22"/>
        </w:rPr>
        <w:t>IGOR ELIAS MEJIA VERAS</w:t>
      </w:r>
    </w:p>
    <w:p>
      <w:pPr>
        <w:spacing w:before="0" w:after="120" w:line="276" w:lineRule="auto"/>
        <w:jc w:val="left"/>
      </w:pPr>
      <w:r>
        <w:rPr>
          <w:rFonts w:ascii="Arial" w:hAnsi="Arial" w:eastAsia="Arial"/>
          <w:b w:val="0"/>
          <w:sz w:val="22"/>
        </w:rPr>
        <w:t>Director de la Dirección de Políticas y Estrategias en Fiscalización Ambiental (DPEF)</w:t>
      </w:r>
    </w:p>
    <w:p>
      <w:pPr>
        <w:spacing w:before="0" w:after="120" w:line="276" w:lineRule="auto"/>
        <w:jc w:val="left"/>
      </w:pPr>
      <w:r>
        <w:rPr>
          <w:rFonts w:ascii="Arial" w:hAnsi="Arial" w:eastAsia="Arial"/>
          <w:b w:val="0"/>
          <w:sz w:val="22"/>
        </w:rPr>
        <w:t>Presente. -</w:t>
      </w:r>
    </w:p>
    <w:p>
      <w:pPr>
        <w:spacing w:before="0" w:after="120" w:line="276" w:lineRule="auto"/>
        <w:jc w:val="both"/>
      </w:pPr>
    </w:p>
    <w:p>
      <w:pPr>
        <w:spacing w:before="0" w:after="120" w:line="276" w:lineRule="auto"/>
        <w:jc w:val="left"/>
      </w:pPr>
      <w:r>
        <w:rPr>
          <w:rFonts w:ascii="Arial" w:hAnsi="Arial" w:eastAsia="Arial"/>
          <w:b w:val="0"/>
          <w:sz w:val="22"/>
        </w:rPr>
        <w:t>Asunto</w:t>
      </w:r>
      <w:r>
        <w:rPr>
          <w:rFonts w:ascii="Arial" w:hAnsi="Arial" w:eastAsia="Arial"/>
          <w:b w:val="0"/>
          <w:sz w:val="22"/>
        </w:rPr>
        <w:tab/>
      </w:r>
      <w:r>
        <w:rPr>
          <w:rFonts w:ascii="Arial" w:hAnsi="Arial" w:eastAsia="Arial"/>
          <w:b w:val="0"/>
          <w:sz w:val="22"/>
        </w:rPr>
        <w:t>:  Presentación del Segundo Entregable</w:t>
      </w:r>
    </w:p>
    <w:p>
      <w:pPr>
        <w:spacing w:before="0" w:after="120" w:line="276" w:lineRule="auto"/>
        <w:jc w:val="left"/>
      </w:pPr>
      <w:r>
        <w:rPr>
          <w:rFonts w:ascii="Arial" w:hAnsi="Arial" w:eastAsia="Arial"/>
          <w:b w:val="0"/>
          <w:sz w:val="22"/>
        </w:rPr>
        <w:t>Referencia</w:t>
      </w:r>
      <w:r>
        <w:rPr>
          <w:rFonts w:ascii="Arial" w:hAnsi="Arial" w:eastAsia="Arial"/>
          <w:b w:val="0"/>
          <w:sz w:val="22"/>
        </w:rPr>
        <w:tab/>
      </w:r>
      <w:r>
        <w:rPr>
          <w:rFonts w:ascii="Arial" w:hAnsi="Arial" w:eastAsia="Arial"/>
          <w:b w:val="0"/>
          <w:sz w:val="22"/>
        </w:rPr>
        <w:t>:  Orden de Servicio N° 02772-2026-S</w:t>
      </w:r>
    </w:p>
    <w:p>
      <w:pPr>
        <w:spacing w:before="0" w:after="120" w:line="276" w:lineRule="auto"/>
        <w:jc w:val="both"/>
      </w:pPr>
    </w:p>
    <w:p>
      <w:pPr>
        <w:spacing w:before="0" w:after="120" w:line="276" w:lineRule="auto"/>
        <w:jc w:val="left"/>
      </w:pPr>
      <w:r>
        <w:rPr>
          <w:rFonts w:ascii="Arial" w:hAnsi="Arial" w:eastAsia="Arial"/>
          <w:b w:val="0"/>
          <w:sz w:val="22"/>
        </w:rPr>
        <w:t>De mi mayor consideración:</w:t>
      </w:r>
    </w:p>
    <w:p>
      <w:pPr>
        <w:spacing w:before="0" w:after="120" w:line="276" w:lineRule="auto"/>
        <w:jc w:val="both"/>
      </w:pPr>
      <w:r>
        <w:rPr>
          <w:rFonts w:ascii="Arial" w:hAnsi="Arial" w:eastAsia="Arial"/>
          <w:b w:val="0"/>
          <w:sz w:val="22"/>
        </w:rPr>
        <w:t>Tengo el agrado de dirigirme a usted, a fin de presentar el segundo entregable debidamente suscrito de la “CONTRATACIÓN DEL SERVICIO DE ANÁLISIS DE DATOS E IMPLEMENTACIÓN DE TÉCNICA PARA PROCESAMIENTO DE DATOS PARA LA EVALUACIÓN DE LA EFECTIVIDAD DE LAS ESTRATEGIAS DE PROMOCIÓN DEL CUMPLIMIENTO”, correspondiente a la Orden de Servicio N° 02772-2026-S, en cumplimiento de las actividades d), e) y f) previstas en el numeral 6 de los Términos de Referencia.</w:t>
      </w:r>
    </w:p>
    <w:p>
      <w:pPr>
        <w:spacing w:before="0" w:after="120" w:line="276" w:lineRule="auto"/>
        <w:jc w:val="both"/>
      </w:pPr>
      <w:r>
        <w:rPr>
          <w:rFonts w:ascii="Arial" w:hAnsi="Arial" w:eastAsia="Arial"/>
          <w:b w:val="0"/>
          <w:sz w:val="22"/>
        </w:rPr>
        <w:t>Asimismo, se adjunta la siguiente documentación para el pago respectivo de haber obtenido la conformidad del servicio prestado:</w:t>
      </w:r>
    </w:p>
    <w:p>
      <w:pPr>
        <w:spacing w:before="0" w:after="40" w:line="276" w:lineRule="auto"/>
        <w:jc w:val="left"/>
        <w:rPr>
          <w:sz w:val="16"/>
          <w:szCs w:val="16"/>
        </w:rPr>
      </w:pPr>
      <w:r>
        <w:rPr>
          <w:rFonts w:ascii="Arial" w:hAnsi="Arial" w:eastAsia="Arial"/>
          <w:b w:val="0"/>
          <w:sz w:val="16"/>
          <w:szCs w:val="16"/>
        </w:rPr>
        <w:t>1. Informe N° 002-2026-EOOG, correspondiente al segundo entregable.</w:t>
      </w:r>
    </w:p>
    <w:p>
      <w:pPr>
        <w:spacing w:before="0" w:after="40" w:line="276" w:lineRule="auto"/>
        <w:jc w:val="left"/>
        <w:rPr>
          <w:sz w:val="16"/>
          <w:szCs w:val="16"/>
        </w:rPr>
      </w:pPr>
      <w:r>
        <w:rPr>
          <w:rFonts w:ascii="Arial" w:hAnsi="Arial" w:eastAsia="Arial"/>
          <w:b w:val="0"/>
          <w:sz w:val="16"/>
          <w:szCs w:val="16"/>
        </w:rPr>
        <w:t>2. Términos de Referencia.</w:t>
      </w:r>
    </w:p>
    <w:p>
      <w:pPr>
        <w:spacing w:before="0" w:after="40" w:line="276" w:lineRule="auto"/>
        <w:jc w:val="left"/>
        <w:rPr>
          <w:sz w:val="16"/>
          <w:szCs w:val="16"/>
        </w:rPr>
      </w:pPr>
      <w:r>
        <w:rPr>
          <w:rFonts w:ascii="Arial" w:hAnsi="Arial" w:eastAsia="Arial"/>
          <w:b w:val="0"/>
          <w:sz w:val="16"/>
          <w:szCs w:val="16"/>
        </w:rPr>
        <w:t>3. Orden de Servicio N° 02772-2026-S.</w:t>
      </w:r>
    </w:p>
    <w:p>
      <w:pPr>
        <w:spacing w:before="0" w:after="40" w:line="276" w:lineRule="auto"/>
        <w:jc w:val="left"/>
        <w:rPr>
          <w:sz w:val="16"/>
          <w:szCs w:val="16"/>
        </w:rPr>
      </w:pPr>
      <w:r>
        <w:rPr>
          <w:rFonts w:ascii="Arial" w:hAnsi="Arial" w:eastAsia="Arial"/>
          <w:b w:val="0"/>
          <w:sz w:val="16"/>
          <w:szCs w:val="16"/>
        </w:rPr>
        <w:t>4. Consulta RUC.</w:t>
      </w:r>
    </w:p>
    <w:p>
      <w:pPr>
        <w:spacing w:before="0" w:after="40" w:line="276" w:lineRule="auto"/>
        <w:jc w:val="left"/>
        <w:rPr>
          <w:sz w:val="16"/>
          <w:szCs w:val="16"/>
        </w:rPr>
      </w:pPr>
      <w:r>
        <w:rPr>
          <w:rFonts w:ascii="Arial" w:hAnsi="Arial" w:eastAsia="Arial"/>
          <w:b w:val="0"/>
          <w:sz w:val="16"/>
          <w:szCs w:val="16"/>
        </w:rPr>
        <w:t>5. Constancia RNP.</w:t>
      </w:r>
    </w:p>
    <w:p>
      <w:pPr>
        <w:spacing w:before="0" w:after="40" w:line="276" w:lineRule="auto"/>
        <w:jc w:val="left"/>
        <w:rPr>
          <w:sz w:val="16"/>
          <w:szCs w:val="16"/>
        </w:rPr>
      </w:pPr>
      <w:r>
        <w:rPr>
          <w:rFonts w:ascii="Arial" w:hAnsi="Arial" w:eastAsia="Arial"/>
          <w:b w:val="0"/>
          <w:sz w:val="16"/>
          <w:szCs w:val="16"/>
        </w:rPr>
        <w:t>6. Recibo por Honorarios Electrónico.</w:t>
      </w:r>
    </w:p>
    <w:p>
      <w:pPr>
        <w:spacing w:before="0" w:after="40" w:line="276" w:lineRule="auto"/>
        <w:jc w:val="left"/>
        <w:rPr>
          <w:sz w:val="16"/>
          <w:szCs w:val="16"/>
        </w:rPr>
      </w:pPr>
      <w:r>
        <w:rPr>
          <w:rFonts w:ascii="Arial" w:hAnsi="Arial" w:eastAsia="Arial"/>
          <w:b w:val="0"/>
          <w:sz w:val="16"/>
          <w:szCs w:val="16"/>
        </w:rPr>
        <w:t>7. Validez del recibo por honorarios.</w:t>
      </w:r>
    </w:p>
    <w:p>
      <w:pPr>
        <w:spacing w:before="0" w:after="40" w:line="276" w:lineRule="auto"/>
        <w:jc w:val="left"/>
      </w:pPr>
      <w:r>
        <w:rPr>
          <w:rFonts w:ascii="Arial" w:hAnsi="Arial" w:eastAsia="Arial"/>
          <w:b w:val="0"/>
          <w:sz w:val="16"/>
          <w:szCs w:val="16"/>
        </w:rPr>
        <w:t>8. Anexos (Carpeta: Anexos Informe 2).</w:t>
      </w:r>
    </w:p>
    <w:p>
      <w:pPr>
        <w:spacing w:before="0" w:after="120" w:line="276" w:lineRule="auto"/>
        <w:jc w:val="both"/>
      </w:pPr>
    </w:p>
    <w:p>
      <w:pPr>
        <w:spacing w:before="0" w:after="120" w:line="276" w:lineRule="auto"/>
        <w:jc w:val="left"/>
      </w:pPr>
      <w:r>
        <w:rPr>
          <w:rFonts w:ascii="Arial" w:hAnsi="Arial" w:eastAsia="Arial"/>
          <w:b w:val="0"/>
          <w:sz w:val="22"/>
        </w:rPr>
        <w:t>Atentamente.</w:t>
      </w:r>
    </w:p>
    <w:p>
      <w:pPr>
        <w:spacing w:before="0" w:after="120" w:line="276" w:lineRule="auto"/>
        <w:jc w:val="both"/>
      </w:pPr>
    </w:p>
    <w:p>
      <w:pPr>
        <w:spacing w:before="0" w:after="120" w:line="276" w:lineRule="auto"/>
        <w:jc w:val="both"/>
      </w:pPr>
    </w:p>
    <w:p>
      <w:pPr>
        <w:spacing w:before="0" w:after="120" w:line="276" w:lineRule="auto"/>
        <w:jc w:val="left"/>
      </w:pPr>
      <w:r>
        <w:rPr>
          <w:rFonts w:ascii="Arial" w:hAnsi="Arial" w:eastAsia="Arial"/>
          <w:b w:val="0"/>
          <w:sz w:val="22"/>
        </w:rPr>
        <w:t>________________________________</w:t>
      </w:r>
    </w:p>
    <w:p>
      <w:pPr>
        <w:spacing w:before="0" w:after="120" w:line="276" w:lineRule="auto"/>
        <w:jc w:val="left"/>
      </w:pPr>
      <w:r>
        <w:rPr>
          <w:rFonts w:ascii="Arial" w:hAnsi="Arial" w:eastAsia="Arial"/>
          <w:b/>
          <w:sz w:val="22"/>
        </w:rPr>
        <w:t>Eder Oswaldo Ortega Gonzales</w:t>
      </w:r>
    </w:p>
    <w:p>
      <w:pPr>
        <w:spacing w:before="0" w:after="120" w:line="276" w:lineRule="auto"/>
        <w:jc w:val="left"/>
      </w:pPr>
      <w:r>
        <w:rPr>
          <w:rFonts w:ascii="Arial" w:hAnsi="Arial" w:eastAsia="Arial"/>
          <w:b w:val="0"/>
          <w:sz w:val="22"/>
        </w:rPr>
        <w:t>DNI: 42202029</w:t>
      </w:r>
    </w:p>
    <w:p>
      <w:pPr>
        <w:spacing w:before="0" w:after="120" w:line="276" w:lineRule="auto"/>
        <w:jc w:val="left"/>
      </w:pPr>
      <w:r>
        <w:rPr>
          <w:rFonts w:ascii="Arial" w:hAnsi="Arial" w:eastAsia="Arial"/>
          <w:b w:val="0"/>
          <w:sz w:val="22"/>
        </w:rPr>
        <w:t>RUC: 10422020298</w:t>
      </w:r>
    </w:p>
    <w:p>
      <w:r>
        <w:br w:type="page"/>
      </w:r>
    </w:p>
    <w:p>
      <w:pPr>
        <w:spacing w:before="0" w:after="240" w:line="276" w:lineRule="auto"/>
        <w:jc w:val="center"/>
      </w:pPr>
      <w:r>
        <w:rPr>
          <w:rFonts w:ascii="Arial" w:hAnsi="Arial" w:eastAsia="Arial"/>
          <w:b/>
          <w:sz w:val="24"/>
        </w:rPr>
        <w:t>INFORME N° 002-2026-EOOG</w:t>
      </w:r>
    </w:p>
    <w:p>
      <w:pPr>
        <w:spacing w:before="0" w:after="120" w:line="276" w:lineRule="auto"/>
        <w:jc w:val="left"/>
      </w:pPr>
      <w:r>
        <w:rPr>
          <w:rFonts w:ascii="Arial" w:hAnsi="Arial" w:eastAsia="Arial"/>
          <w:b w:val="0"/>
          <w:sz w:val="22"/>
        </w:rPr>
        <w:t>A</w:t>
      </w:r>
      <w:r>
        <w:rPr>
          <w:rFonts w:ascii="Arial" w:hAnsi="Arial" w:eastAsia="Arial"/>
          <w:b w:val="0"/>
          <w:sz w:val="22"/>
        </w:rPr>
        <w:tab/>
      </w:r>
      <w:r>
        <w:rPr>
          <w:rFonts w:ascii="Arial" w:hAnsi="Arial" w:eastAsia="Arial"/>
          <w:b w:val="0"/>
          <w:sz w:val="22"/>
        </w:rPr>
        <w:tab/>
      </w:r>
      <w:r>
        <w:rPr>
          <w:rFonts w:ascii="Arial" w:hAnsi="Arial" w:eastAsia="Arial"/>
          <w:b w:val="0"/>
          <w:sz w:val="22"/>
        </w:rPr>
        <w:t>:  IGOR ELIAS MEJIA VERAS</w:t>
      </w:r>
    </w:p>
    <w:p>
      <w:pPr>
        <w:spacing w:before="0" w:after="40" w:line="276" w:lineRule="auto"/>
        <w:jc w:val="left"/>
      </w:pPr>
      <w:r>
        <w:rPr>
          <w:rFonts w:ascii="Arial" w:hAnsi="Arial" w:eastAsia="Arial"/>
          <w:b w:val="0"/>
          <w:sz w:val="22"/>
        </w:rPr>
        <w:t>Director de la Dirección de Políticas y Estrategias en Fiscalización Ambiental del OEFA</w:t>
      </w:r>
    </w:p>
    <w:p>
      <w:pPr>
        <w:spacing w:before="0" w:after="120" w:line="276" w:lineRule="auto"/>
        <w:jc w:val="left"/>
      </w:pPr>
      <w:r>
        <w:rPr>
          <w:rFonts w:ascii="Arial" w:hAnsi="Arial" w:eastAsia="Arial"/>
          <w:b w:val="0"/>
          <w:sz w:val="22"/>
        </w:rPr>
        <w:t>Asunto</w:t>
      </w:r>
      <w:r>
        <w:rPr>
          <w:rFonts w:ascii="Arial" w:hAnsi="Arial" w:eastAsia="Arial"/>
          <w:b w:val="0"/>
          <w:sz w:val="22"/>
        </w:rPr>
        <w:tab/>
      </w:r>
      <w:r>
        <w:rPr>
          <w:rFonts w:ascii="Arial" w:hAnsi="Arial" w:eastAsia="Arial"/>
          <w:b w:val="0"/>
          <w:sz w:val="22"/>
        </w:rPr>
        <w:t>:  Segundo entregable de la Orden de Servicio N° 02772-2026-S</w:t>
      </w:r>
    </w:p>
    <w:p>
      <w:pPr>
        <w:spacing w:before="0" w:after="120" w:line="276" w:lineRule="auto"/>
        <w:jc w:val="left"/>
      </w:pPr>
      <w:r>
        <w:rPr>
          <w:rFonts w:ascii="Arial" w:hAnsi="Arial" w:eastAsia="Arial"/>
          <w:b w:val="0"/>
          <w:sz w:val="22"/>
        </w:rPr>
        <w:t>Ref.</w:t>
      </w:r>
      <w:r>
        <w:rPr>
          <w:rFonts w:ascii="Arial" w:hAnsi="Arial" w:eastAsia="Arial"/>
          <w:b w:val="0"/>
          <w:sz w:val="22"/>
        </w:rPr>
        <w:tab/>
      </w:r>
      <w:r>
        <w:rPr>
          <w:rFonts w:ascii="Arial" w:hAnsi="Arial" w:eastAsia="Arial"/>
          <w:b w:val="0"/>
          <w:sz w:val="22"/>
        </w:rPr>
        <w:t>:  Términos de Referencia de la Orden de Servicio N° 02772-2026-S</w:t>
      </w:r>
    </w:p>
    <w:p>
      <w:pPr>
        <w:spacing w:before="0" w:after="120" w:line="276" w:lineRule="auto"/>
        <w:jc w:val="left"/>
      </w:pPr>
      <w:r>
        <w:rPr>
          <w:rFonts w:ascii="Arial" w:hAnsi="Arial" w:eastAsia="Arial"/>
          <w:b w:val="0"/>
          <w:sz w:val="22"/>
        </w:rPr>
        <w:t>Fecha</w:t>
      </w:r>
      <w:r>
        <w:rPr>
          <w:rFonts w:ascii="Arial" w:hAnsi="Arial" w:eastAsia="Arial"/>
          <w:b w:val="0"/>
          <w:sz w:val="22"/>
        </w:rPr>
        <w:tab/>
      </w:r>
      <w:r>
        <w:rPr>
          <w:rFonts w:ascii="Arial" w:hAnsi="Arial" w:eastAsia="Arial"/>
          <w:b w:val="0"/>
          <w:sz w:val="22"/>
        </w:rPr>
        <w:t>:  Lima, 09 de septiembre de 2026.</w:t>
      </w:r>
    </w:p>
    <w:p>
      <w:pPr>
        <w:spacing w:before="0" w:after="120" w:line="276" w:lineRule="auto"/>
        <w:jc w:val="both"/>
      </w:pPr>
    </w:p>
    <w:p>
      <w:pPr>
        <w:spacing w:before="0" w:after="120" w:line="276" w:lineRule="auto"/>
        <w:jc w:val="both"/>
      </w:pPr>
      <w:r>
        <w:rPr>
          <w:rFonts w:ascii="Arial" w:hAnsi="Arial" w:eastAsia="Arial"/>
          <w:b w:val="0"/>
          <w:sz w:val="22"/>
        </w:rPr>
        <w:t>Es grato dirigirme a usted, para saludarlo e informarle de las actividades realizadas en relación con el segundo entregable de la Orden de Servicio N° 02772-2026-S.</w:t>
      </w:r>
    </w:p>
    <w:p>
      <w:pPr>
        <w:spacing w:before="200" w:after="160" w:line="276" w:lineRule="auto"/>
        <w:jc w:val="left"/>
      </w:pPr>
      <w:r>
        <w:rPr>
          <w:rFonts w:ascii="Arial" w:hAnsi="Arial" w:eastAsia="Arial"/>
          <w:b/>
          <w:sz w:val="24"/>
        </w:rPr>
        <w:t>I. ANTECEDENTE:</w:t>
      </w:r>
    </w:p>
    <w:p>
      <w:pPr>
        <w:spacing w:before="0" w:after="120" w:line="276" w:lineRule="auto"/>
        <w:jc w:val="both"/>
      </w:pPr>
      <w:r>
        <w:rPr>
          <w:rFonts w:ascii="Arial" w:hAnsi="Arial" w:eastAsia="Arial"/>
          <w:b w:val="0"/>
          <w:sz w:val="22"/>
        </w:rPr>
        <w:t>1. Mediante la Orden de Servicio N° 02772-2026-S, de fecha 15 de julio de 2026, se contrataron mis servicios profesionales denominados “CONTRATACIÓN DEL SERVICIO DE ANÁLISIS DE DATOS E IMPLEMENTACIÓN DE TÉCNICA PARA PROCESAMIENTO DE DATOS PARA LA EVALUACIÓN DE LA EFECTIVIDAD DE LAS ESTRATEGIAS DE PROMOCIÓN DEL CUMPLIMIENTO”. En el Primer Entregable se consolidó, revisó y validó la información de multas coercitivas disponible en las fuentes institucionales. El presente informe da cuenta del Segundo Entregable, referido a la depuración y estandarización de dichas bases, a la aplicación de controles de aseguramiento de la calidad con trazabilidad, y al procesamiento analítico orientado a evaluar la efectividad de las estrategias de promoción del cumplimiento asociadas a multas coercitivas.</w:t>
      </w:r>
    </w:p>
    <w:p>
      <w:pPr>
        <w:spacing w:before="200" w:after="160" w:line="276" w:lineRule="auto"/>
        <w:jc w:val="left"/>
      </w:pPr>
      <w:r>
        <w:rPr>
          <w:rFonts w:ascii="Arial" w:hAnsi="Arial" w:eastAsia="Arial"/>
          <w:b/>
          <w:sz w:val="24"/>
        </w:rPr>
        <w:t>II. DESARROLLO</w:t>
      </w:r>
    </w:p>
    <w:p>
      <w:pPr>
        <w:spacing w:before="0" w:after="120" w:line="276" w:lineRule="auto"/>
        <w:jc w:val="both"/>
      </w:pPr>
      <w:r>
        <w:rPr>
          <w:rFonts w:ascii="Arial" w:hAnsi="Arial" w:eastAsia="Arial"/>
          <w:b w:val="0"/>
          <w:sz w:val="22"/>
        </w:rPr>
        <w:t>2. Conforme al numeral 7 de los términos de referencia del servicio referido, el segundo entregable deberá considerar lo siguiente: Un (01) Informe detallando el cumplimiento de las actividades d), e) y f) descritas en el numeral 6 de los Términos de Referencia, adjuntando el sustento correspondiente.</w:t>
      </w:r>
    </w:p>
    <w:p>
      <w:pPr>
        <w:spacing w:before="0" w:after="120" w:line="276" w:lineRule="auto"/>
        <w:jc w:val="left"/>
      </w:pPr>
      <w:r>
        <w:rPr>
          <w:rFonts w:ascii="Arial" w:hAnsi="Arial" w:eastAsia="Arial"/>
          <w:b w:val="0"/>
          <w:sz w:val="22"/>
        </w:rPr>
        <w:t>Las actividades en mención son las siguientes:</w:t>
      </w:r>
    </w:p>
    <w:p>
      <w:pPr>
        <w:spacing w:before="0" w:after="120" w:line="276" w:lineRule="auto"/>
        <w:jc w:val="both"/>
      </w:pPr>
      <w:r>
        <w:rPr>
          <w:rFonts w:ascii="Arial" w:hAnsi="Arial" w:eastAsia="Arial"/>
          <w:b w:val="0"/>
          <w:sz w:val="22"/>
        </w:rPr>
        <w:t>d) Depurar y estandarizar las bases de datos, aplicando criterios técnicos para la organización de variables, homologación de categorías, codificación de campos, uniformización de formatos y tratamiento de observaciones identificadas.</w:t>
      </w:r>
    </w:p>
    <w:p>
      <w:pPr>
        <w:spacing w:before="0" w:after="120" w:line="276" w:lineRule="auto"/>
        <w:jc w:val="both"/>
      </w:pPr>
      <w:r>
        <w:rPr>
          <w:rFonts w:ascii="Arial" w:hAnsi="Arial" w:eastAsia="Arial"/>
          <w:b w:val="0"/>
          <w:sz w:val="22"/>
        </w:rPr>
        <w:t>e) Aplicar controles de aseguramiento de la calidad de la información, garantizando la trazabilidad entre las fuentes originales, las bases consolidadas, las bases depuradas y las bases finales validadas.</w:t>
      </w:r>
    </w:p>
    <w:p>
      <w:pPr>
        <w:spacing w:before="0" w:after="120" w:line="276" w:lineRule="auto"/>
        <w:jc w:val="both"/>
      </w:pPr>
      <w:r>
        <w:rPr>
          <w:rFonts w:ascii="Arial" w:hAnsi="Arial" w:eastAsia="Arial"/>
          <w:b w:val="0"/>
          <w:sz w:val="22"/>
        </w:rPr>
        <w:t>f) Procesar y analizar la información sistematizada en las multas coercitivas, mediante técnicas de análisis de datos que permitan evaluar la efectividad de las estrategias de promoción del cumplimiento e identificar avances, brechas y oportunidades de mejora para la gestión institucional del OEFA.</w:t>
      </w:r>
    </w:p>
    <w:p>
      <w:pPr>
        <w:spacing w:before="0" w:after="120" w:line="276" w:lineRule="auto"/>
        <w:jc w:val="both"/>
      </w:pPr>
      <w:r>
        <w:rPr>
          <w:rFonts w:ascii="Arial" w:hAnsi="Arial" w:eastAsia="Arial"/>
          <w:b w:val="0"/>
          <w:sz w:val="22"/>
        </w:rPr>
        <w:t>3. Al respecto, se citan las acciones realizadas durante el periodo correspondiente al segundo entregable, incluyendo información pormenorizada, a fin de dar cumplimiento a las actividades establecidas. El alcance de este entregable se centra en el universo de multas coercitivas, a partir de las fuentes vigentes de seguimiento operativo y del núcleo institucional.</w:t>
      </w:r>
    </w:p>
    <w:p>
      <w:pPr>
        <w:spacing w:before="0" w:after="120" w:line="276" w:lineRule="auto"/>
        <w:jc w:val="both"/>
      </w:pPr>
      <w:r>
        <w:rPr>
          <w:rFonts w:ascii="Arial" w:hAnsi="Arial" w:eastAsia="Arial"/>
          <w:b/>
          <w:sz w:val="22"/>
        </w:rPr>
        <w:t>d) Depurar y estandarizar las bases de datos, aplicando criterios técnicos para la organización de variables, homologación de categorías, codificación de campos, uniformización de formatos y tratamiento de observaciones identificadas.</w:t>
      </w:r>
    </w:p>
    <w:p>
      <w:pPr>
        <w:spacing w:before="0" w:after="120" w:line="276" w:lineRule="auto"/>
        <w:jc w:val="both"/>
      </w:pPr>
      <w:r>
        <w:rPr>
          <w:rFonts w:ascii="Arial" w:hAnsi="Arial" w:eastAsia="Arial"/>
          <w:b w:val="0"/>
          <w:sz w:val="22"/>
        </w:rPr>
        <w:t>4. Inventario operativo actualizado: En coordinación con la CSEP se ratificó el alcance de fuentes para el análisis de multas coercitivas. Respecto del piloto del Primer Entregable, se amplió la cobertura de planillas de seguimiento (oficinas desconcentradas y unidades CSEP) y se mantuvo la vista institucional como referencia del núcleo. Las fuentes auxiliares de cobertura reducida quedaron fuera de la ingestión ordinaria, a fin de no distorsionar los volúmenes ni la lectura de gestión.</w:t>
      </w:r>
    </w:p>
    <w:p>
      <w:pPr>
        <w:spacing w:before="0" w:after="120" w:line="276" w:lineRule="auto"/>
        <w:jc w:val="left"/>
      </w:pPr>
      <w:r>
        <w:rPr>
          <w:rFonts w:ascii="Arial" w:hAnsi="Arial" w:eastAsia="Arial"/>
          <w:b/>
          <w:sz w:val="20"/>
        </w:rPr>
        <w:t>Cuadro 1. Fuentes de multas coercitivas vigentes en el Segundo Entregable.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D9E2F3"/>
          </w:tcPr>
          <w:p>
            <w:pPr>
              <w:spacing w:after="0" w:line="240" w:lineRule="auto"/>
            </w:pPr>
            <w:r>
              <w:rPr>
                <w:rFonts w:ascii="Arial" w:hAnsi="Arial" w:eastAsia="Arial"/>
                <w:b/>
                <w:sz w:val="18"/>
              </w:rPr>
              <w:t>N.°</w:t>
            </w:r>
          </w:p>
        </w:tc>
        <w:tc>
          <w:tcPr>
            <w:tcW w:w="2351" w:type="dxa"/>
            <w:shd w:val="clear" w:color="auto" w:fill="D9E2F3"/>
          </w:tcPr>
          <w:p>
            <w:pPr>
              <w:spacing w:after="0" w:line="240" w:lineRule="auto"/>
            </w:pPr>
            <w:r>
              <w:rPr>
                <w:rFonts w:ascii="Arial" w:hAnsi="Arial" w:eastAsia="Arial"/>
                <w:b/>
                <w:sz w:val="18"/>
              </w:rPr>
              <w:t>Universo</w:t>
            </w:r>
          </w:p>
        </w:tc>
        <w:tc>
          <w:tcPr>
            <w:tcW w:w="2351" w:type="dxa"/>
            <w:shd w:val="clear" w:color="auto" w:fill="D9E2F3"/>
          </w:tcPr>
          <w:p>
            <w:pPr>
              <w:spacing w:after="0" w:line="240" w:lineRule="auto"/>
            </w:pPr>
            <w:r>
              <w:rPr>
                <w:rFonts w:ascii="Arial" w:hAnsi="Arial" w:eastAsia="Arial"/>
                <w:b/>
                <w:sz w:val="18"/>
              </w:rPr>
              <w:t>Origen</w:t>
            </w:r>
          </w:p>
        </w:tc>
        <w:tc>
          <w:tcPr>
            <w:tcW w:w="2351" w:type="dxa"/>
            <w:shd w:val="clear" w:color="auto" w:fill="D9E2F3"/>
          </w:tcPr>
          <w:p>
            <w:pPr>
              <w:spacing w:after="0" w:line="240" w:lineRule="auto"/>
            </w:pPr>
            <w:r>
              <w:rPr>
                <w:rFonts w:ascii="Arial" w:hAnsi="Arial" w:eastAsia="Arial"/>
                <w:b/>
                <w:sz w:val="18"/>
              </w:rPr>
              <w:t>Uso en el modelo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pPr>
            <w:r>
              <w:rPr>
                <w:rFonts w:ascii="Arial" w:hAnsi="Arial" w:eastAsia="Arial"/>
                <w:b w:val="0"/>
                <w:sz w:val="18"/>
              </w:rPr>
              <w:t>1</w:t>
            </w:r>
          </w:p>
        </w:tc>
        <w:tc>
          <w:tcPr>
            <w:tcW w:w="2351" w:type="dxa"/>
          </w:tcPr>
          <w:p>
            <w:pPr>
              <w:spacing w:after="0" w:line="240" w:lineRule="auto"/>
            </w:pPr>
            <w:r>
              <w:rPr>
                <w:rFonts w:ascii="Arial" w:hAnsi="Arial" w:eastAsia="Arial"/>
                <w:b w:val="0"/>
                <w:sz w:val="18"/>
              </w:rPr>
              <w:t>F1 — Oficinas desconcentradas (OD)</w:t>
            </w:r>
          </w:p>
        </w:tc>
        <w:tc>
          <w:tcPr>
            <w:tcW w:w="2351" w:type="dxa"/>
          </w:tcPr>
          <w:p>
            <w:pPr>
              <w:spacing w:after="0" w:line="240" w:lineRule="auto"/>
            </w:pPr>
            <w:r>
              <w:rPr>
                <w:rFonts w:ascii="Arial" w:hAnsi="Arial" w:eastAsia="Arial"/>
                <w:b w:val="0"/>
                <w:sz w:val="18"/>
              </w:rPr>
              <w:t>31 Google Sheets de medidas / multas</w:t>
            </w:r>
          </w:p>
        </w:tc>
        <w:tc>
          <w:tcPr>
            <w:tcW w:w="2351" w:type="dxa"/>
          </w:tcPr>
          <w:p>
            <w:pPr>
              <w:spacing w:after="0" w:line="240" w:lineRule="auto"/>
            </w:pPr>
            <w:r>
              <w:rPr>
                <w:rFonts w:ascii="Arial" w:hAnsi="Arial" w:eastAsia="Arial"/>
                <w:b w:val="0"/>
                <w:sz w:val="18"/>
              </w:rPr>
              <w:t>Seguimiento territorial 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pPr>
            <w:r>
              <w:rPr>
                <w:rFonts w:ascii="Arial" w:hAnsi="Arial" w:eastAsia="Arial"/>
                <w:b w:val="0"/>
                <w:sz w:val="18"/>
              </w:rPr>
              <w:t>2</w:t>
            </w:r>
          </w:p>
        </w:tc>
        <w:tc>
          <w:tcPr>
            <w:tcW w:w="2351" w:type="dxa"/>
          </w:tcPr>
          <w:p>
            <w:pPr>
              <w:spacing w:after="0" w:line="240" w:lineRule="auto"/>
            </w:pPr>
            <w:r>
              <w:rPr>
                <w:rFonts w:ascii="Arial" w:hAnsi="Arial" w:eastAsia="Arial"/>
                <w:b w:val="0"/>
                <w:sz w:val="18"/>
              </w:rPr>
              <w:t>F2 — Unidades CSEP</w:t>
            </w:r>
          </w:p>
        </w:tc>
        <w:tc>
          <w:tcPr>
            <w:tcW w:w="2351" w:type="dxa"/>
          </w:tcPr>
          <w:p>
            <w:pPr>
              <w:spacing w:after="0" w:line="240" w:lineRule="auto"/>
            </w:pPr>
            <w:r>
              <w:rPr>
                <w:rFonts w:ascii="Arial" w:hAnsi="Arial" w:eastAsia="Arial"/>
                <w:b w:val="0"/>
                <w:sz w:val="18"/>
              </w:rPr>
              <w:t>10 Google Sheets de multas y etapas</w:t>
            </w:r>
          </w:p>
        </w:tc>
        <w:tc>
          <w:tcPr>
            <w:tcW w:w="2351" w:type="dxa"/>
          </w:tcPr>
          <w:p>
            <w:pPr>
              <w:spacing w:after="0" w:line="240" w:lineRule="auto"/>
            </w:pPr>
            <w:r>
              <w:rPr>
                <w:rFonts w:ascii="Arial" w:hAnsi="Arial" w:eastAsia="Arial"/>
                <w:b w:val="0"/>
                <w:sz w:val="18"/>
              </w:rPr>
              <w:t>Seguimiento operativo CSEP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pPr>
            <w:r>
              <w:rPr>
                <w:rFonts w:ascii="Arial" w:hAnsi="Arial" w:eastAsia="Arial"/>
                <w:b w:val="0"/>
                <w:sz w:val="18"/>
              </w:rPr>
              <w:t>3</w:t>
            </w:r>
          </w:p>
        </w:tc>
        <w:tc>
          <w:tcPr>
            <w:tcW w:w="2351" w:type="dxa"/>
          </w:tcPr>
          <w:p>
            <w:pPr>
              <w:spacing w:after="0" w:line="240" w:lineRule="auto"/>
            </w:pPr>
            <w:r>
              <w:rPr>
                <w:rFonts w:ascii="Arial" w:hAnsi="Arial" w:eastAsia="Arial"/>
                <w:b w:val="0"/>
                <w:sz w:val="18"/>
              </w:rPr>
              <w:t>F5 — Núcleo institucional</w:t>
            </w:r>
          </w:p>
        </w:tc>
        <w:tc>
          <w:tcPr>
            <w:tcW w:w="2351" w:type="dxa"/>
          </w:tcPr>
          <w:p>
            <w:pPr>
              <w:spacing w:after="0" w:line="240" w:lineRule="auto"/>
            </w:pPr>
            <w:r>
              <w:rPr>
                <w:rFonts w:ascii="Arial" w:hAnsi="Arial" w:eastAsia="Arial"/>
                <w:b w:val="0"/>
                <w:sz w:val="18"/>
              </w:rPr>
              <w:t>Vista Oracle de multas coercitivas (SISUD)</w:t>
            </w:r>
          </w:p>
        </w:tc>
        <w:tc>
          <w:tcPr>
            <w:tcW w:w="2351" w:type="dxa"/>
          </w:tcPr>
          <w:p>
            <w:pPr>
              <w:spacing w:after="0" w:line="240" w:lineRule="auto"/>
            </w:pPr>
            <w:r>
              <w:rPr>
                <w:rFonts w:ascii="Arial" w:hAnsi="Arial" w:eastAsia="Arial"/>
                <w:b w:val="0"/>
                <w:sz w:val="18"/>
              </w:rPr>
              <w:t>Referencia institucional (CUM/CAM)</w:t>
            </w:r>
          </w:p>
        </w:tc>
      </w:tr>
    </w:tbl>
    <w:p/>
    <w:p>
      <w:pPr>
        <w:spacing w:before="0" w:after="120" w:line="276" w:lineRule="auto"/>
        <w:jc w:val="both"/>
      </w:pPr>
      <w:r>
        <w:rPr>
          <w:rFonts w:ascii="Arial" w:hAnsi="Arial" w:eastAsia="Arial"/>
          <w:b w:val="0"/>
          <w:sz w:val="22"/>
        </w:rPr>
        <w:t>4.1. La autenticación a Google Sheets se realiza con cuenta de servicio institucional. Las conexiones al núcleo Oracle operan mediante variables de entorno del proyecto de procesamiento. No se almacenan contraseñas en el repositorio de trabajo. Cada planilla utilizada debe estar compartida con la cuenta de servicio correspondiente.</w:t>
      </w:r>
    </w:p>
    <w:p>
      <w:pPr>
        <w:spacing w:before="0" w:after="120" w:line="276" w:lineRule="auto"/>
        <w:jc w:val="both"/>
      </w:pPr>
      <w:r>
        <w:rPr>
          <w:rFonts w:ascii="Arial" w:hAnsi="Arial" w:eastAsia="Arial"/>
          <w:b w:val="0"/>
          <w:sz w:val="22"/>
        </w:rPr>
        <w:t>5. Depuración y estandarización aplicadas: Se tipificaron las variables de cada fuente a un molde común (códigos de medida, resolución, montos, fechas del ciclo, estados, administrado y territorio), se normalizaron formatos de fecha y texto, se homologaron categorías de estado hacia un catálogo único, y se trataron observaciones recurrentes (celdas de error de planilla, espacios, variantes de numeración de resolución y montos expresados en UIT o en soles). El criterio rector es conservar la información de origen y hacerla comparable, sin forzar un “pegado” artificial entre universos heterogéneos.</w:t>
      </w:r>
    </w:p>
    <w:p>
      <w:pPr>
        <w:spacing w:before="0" w:after="120" w:line="276" w:lineRule="auto"/>
        <w:jc w:val="left"/>
      </w:pPr>
      <w:r>
        <w:rPr>
          <w:rFonts w:ascii="Arial" w:hAnsi="Arial" w:eastAsia="Arial"/>
          <w:b/>
          <w:sz w:val="20"/>
        </w:rPr>
        <w:t>Cuadro 2. Principales criterios de depuración y estandarización.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Criterio</w:t>
            </w:r>
          </w:p>
        </w:tc>
        <w:tc>
          <w:tcPr>
            <w:tcW w:w="3135" w:type="dxa"/>
            <w:shd w:val="clear" w:color="auto" w:fill="D9E2F3"/>
          </w:tcPr>
          <w:p>
            <w:pPr>
              <w:spacing w:after="0" w:line="240" w:lineRule="auto"/>
            </w:pPr>
            <w:r>
              <w:rPr>
                <w:rFonts w:ascii="Arial" w:hAnsi="Arial" w:eastAsia="Arial"/>
                <w:b/>
                <w:sz w:val="18"/>
              </w:rPr>
              <w:t>Qué se estandarizó</w:t>
            </w:r>
          </w:p>
        </w:tc>
        <w:tc>
          <w:tcPr>
            <w:tcW w:w="3135" w:type="dxa"/>
            <w:shd w:val="clear" w:color="auto" w:fill="D9E2F3"/>
          </w:tcPr>
          <w:p>
            <w:pPr>
              <w:spacing w:after="0" w:line="240" w:lineRule="auto"/>
            </w:pPr>
            <w:r>
              <w:rPr>
                <w:rFonts w:ascii="Arial" w:hAnsi="Arial" w:eastAsia="Arial"/>
                <w:b/>
                <w:sz w:val="18"/>
              </w:rPr>
              <w:t>Resultado para el análisis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Organización de variables</w:t>
            </w:r>
          </w:p>
        </w:tc>
        <w:tc>
          <w:tcPr>
            <w:tcW w:w="3135" w:type="dxa"/>
          </w:tcPr>
          <w:p>
            <w:pPr>
              <w:spacing w:after="0" w:line="240" w:lineRule="auto"/>
            </w:pPr>
            <w:r>
              <w:rPr>
                <w:rFonts w:ascii="Arial" w:hAnsi="Arial" w:eastAsia="Arial"/>
                <w:b w:val="0"/>
                <w:sz w:val="18"/>
              </w:rPr>
              <w:t>Campos de planillas y núcleo alineados a un mismo diccionario</w:t>
            </w:r>
          </w:p>
        </w:tc>
        <w:tc>
          <w:tcPr>
            <w:tcW w:w="3135" w:type="dxa"/>
          </w:tcPr>
          <w:p>
            <w:pPr>
              <w:spacing w:after="0" w:line="240" w:lineRule="auto"/>
            </w:pPr>
            <w:r>
              <w:rPr>
                <w:rFonts w:ascii="Arial" w:hAnsi="Arial" w:eastAsia="Arial"/>
                <w:b w:val="0"/>
                <w:sz w:val="18"/>
              </w:rPr>
              <w:t>Comparabilidad entre fuentes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Homologación de categorías</w:t>
            </w:r>
          </w:p>
        </w:tc>
        <w:tc>
          <w:tcPr>
            <w:tcW w:w="3135" w:type="dxa"/>
          </w:tcPr>
          <w:p>
            <w:pPr>
              <w:spacing w:after="0" w:line="240" w:lineRule="auto"/>
            </w:pPr>
            <w:r>
              <w:rPr>
                <w:rFonts w:ascii="Arial" w:hAnsi="Arial" w:eastAsia="Arial"/>
                <w:b w:val="0"/>
                <w:sz w:val="18"/>
              </w:rPr>
              <w:t>Estados de multa, pago y resolución a catálogo único</w:t>
            </w:r>
          </w:p>
        </w:tc>
        <w:tc>
          <w:tcPr>
            <w:tcW w:w="3135" w:type="dxa"/>
          </w:tcPr>
          <w:p>
            <w:pPr>
              <w:spacing w:after="0" w:line="240" w:lineRule="auto"/>
            </w:pPr>
            <w:r>
              <w:rPr>
                <w:rFonts w:ascii="Arial" w:hAnsi="Arial" w:eastAsia="Arial"/>
                <w:b w:val="0"/>
                <w:sz w:val="18"/>
              </w:rPr>
              <w:t>Cortes homogéneos por 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Codificación / territorio</w:t>
            </w:r>
          </w:p>
        </w:tc>
        <w:tc>
          <w:tcPr>
            <w:tcW w:w="3135" w:type="dxa"/>
          </w:tcPr>
          <w:p>
            <w:pPr>
              <w:spacing w:after="0" w:line="240" w:lineRule="auto"/>
            </w:pPr>
            <w:r>
              <w:rPr>
                <w:rFonts w:ascii="Arial" w:hAnsi="Arial" w:eastAsia="Arial"/>
                <w:b w:val="0"/>
                <w:sz w:val="18"/>
              </w:rPr>
              <w:t>Unidad CSEP y oficina OD como dimensiones de consulta</w:t>
            </w:r>
          </w:p>
        </w:tc>
        <w:tc>
          <w:tcPr>
            <w:tcW w:w="3135" w:type="dxa"/>
          </w:tcPr>
          <w:p>
            <w:pPr>
              <w:spacing w:after="0" w:line="240" w:lineRule="auto"/>
            </w:pPr>
            <w:r>
              <w:rPr>
                <w:rFonts w:ascii="Arial" w:hAnsi="Arial" w:eastAsia="Arial"/>
                <w:b w:val="0"/>
                <w:sz w:val="18"/>
              </w:rPr>
              <w:t>Análisis por órgano u 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Uniformización de formatos</w:t>
            </w:r>
          </w:p>
        </w:tc>
        <w:tc>
          <w:tcPr>
            <w:tcW w:w="3135" w:type="dxa"/>
          </w:tcPr>
          <w:p>
            <w:pPr>
              <w:spacing w:after="0" w:line="240" w:lineRule="auto"/>
            </w:pPr>
            <w:r>
              <w:rPr>
                <w:rFonts w:ascii="Arial" w:hAnsi="Arial" w:eastAsia="Arial"/>
                <w:b w:val="0"/>
                <w:sz w:val="18"/>
              </w:rPr>
              <w:t>Fechas, montos UIT/S/ y códigos de resolución</w:t>
            </w:r>
          </w:p>
        </w:tc>
        <w:tc>
          <w:tcPr>
            <w:tcW w:w="3135" w:type="dxa"/>
          </w:tcPr>
          <w:p>
            <w:pPr>
              <w:spacing w:after="0" w:line="240" w:lineRule="auto"/>
            </w:pPr>
            <w:r>
              <w:rPr>
                <w:rFonts w:ascii="Arial" w:hAnsi="Arial" w:eastAsia="Arial"/>
                <w:b w:val="0"/>
                <w:sz w:val="18"/>
              </w:rPr>
              <w:t>Cálculo de plazos y montos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Tratamiento de observaciones</w:t>
            </w:r>
          </w:p>
        </w:tc>
        <w:tc>
          <w:tcPr>
            <w:tcW w:w="3135" w:type="dxa"/>
          </w:tcPr>
          <w:p>
            <w:pPr>
              <w:spacing w:after="0" w:line="240" w:lineRule="auto"/>
            </w:pPr>
            <w:r>
              <w:rPr>
                <w:rFonts w:ascii="Arial" w:hAnsi="Arial" w:eastAsia="Arial"/>
                <w:b w:val="0"/>
                <w:sz w:val="18"/>
              </w:rPr>
              <w:t>Valores anómalos marcados; no se eliminan filas de origen</w:t>
            </w:r>
          </w:p>
        </w:tc>
        <w:tc>
          <w:tcPr>
            <w:tcW w:w="3135" w:type="dxa"/>
          </w:tcPr>
          <w:p>
            <w:pPr>
              <w:spacing w:after="0" w:line="240" w:lineRule="auto"/>
            </w:pPr>
            <w:r>
              <w:rPr>
                <w:rFonts w:ascii="Arial" w:hAnsi="Arial" w:eastAsia="Arial"/>
                <w:b w:val="0"/>
                <w:sz w:val="18"/>
              </w:rPr>
              <w:t>Trazabilidad y auditoría</w:t>
            </w:r>
          </w:p>
        </w:tc>
      </w:tr>
    </w:tbl>
    <w:p>
      <w:pPr>
        <w:spacing w:before="0" w:after="120" w:line="276" w:lineRule="auto"/>
        <w:jc w:val="both"/>
      </w:pPr>
    </w:p>
    <w:p>
      <w:pPr>
        <w:spacing w:before="0" w:after="120" w:line="276" w:lineRule="auto"/>
        <w:jc w:val="both"/>
      </w:pPr>
    </w:p>
    <w:p>
      <w:pPr>
        <w:spacing w:before="0" w:after="120" w:line="276" w:lineRule="auto"/>
        <w:jc w:val="both"/>
      </w:pPr>
      <w:r>
        <w:rPr>
          <w:rFonts w:ascii="Arial" w:hAnsi="Arial" w:eastAsia="Arial"/>
          <w:b w:val="0"/>
          <w:sz w:val="22"/>
        </w:rPr>
        <w:t>5.</w:t>
      </w:r>
      <w:r>
        <w:rPr>
          <w:rFonts w:hint="default" w:ascii="Arial" w:hAnsi="Arial" w:eastAsia="Arial"/>
          <w:b w:val="0"/>
          <w:sz w:val="22"/>
          <w:lang/>
        </w:rPr>
        <w:t>1</w:t>
      </w:r>
      <w:r>
        <w:rPr>
          <w:rFonts w:ascii="Arial" w:hAnsi="Arial" w:eastAsia="Arial"/>
          <w:b w:val="0"/>
          <w:sz w:val="22"/>
        </w:rPr>
        <w:t>. Respecto de la correspondencia con el núcleo institucional, se adoptó un criterio de enriquecimiento selectivo: la planilla de seguimiento es la base del análisis operativo y, cuando existe correspondencia por resolución y monto, se completa con los identificadores institucionales (CUM/CAM). Si no hay correspondencia, la fila de planilla se conserva y los identificadores institucionales quedan pendientes, sin inventar datos.</w:t>
      </w:r>
    </w:p>
    <w:p>
      <w:pPr>
        <w:spacing w:before="0" w:after="120" w:line="276" w:lineRule="auto"/>
        <w:jc w:val="both"/>
        <w:rPr>
          <w:rFonts w:ascii="Arial" w:hAnsi="Arial" w:eastAsia="Arial"/>
          <w:b w:val="0"/>
          <w:sz w:val="22"/>
        </w:rPr>
      </w:pPr>
      <w:r>
        <w:rPr>
          <w:rFonts w:ascii="Arial" w:hAnsi="Arial" w:eastAsia="Arial"/>
          <w:b w:val="0"/>
          <w:sz w:val="22"/>
        </w:rPr>
        <w:t xml:space="preserve">6. Bases finales depuradas: El resultado de la depuración no es un único listado “mezclado”, sino un modelo ordenado en capas: </w:t>
      </w:r>
    </w:p>
    <w:p>
      <w:pPr>
        <w:spacing w:before="0" w:after="120" w:line="276" w:lineRule="auto"/>
        <w:jc w:val="both"/>
        <w:rPr>
          <w:rFonts w:ascii="Arial" w:hAnsi="Arial" w:eastAsia="Arial"/>
          <w:b w:val="0"/>
          <w:sz w:val="22"/>
        </w:rPr>
      </w:pPr>
      <w:r>
        <w:rPr>
          <w:rFonts w:ascii="Arial" w:hAnsi="Arial" w:eastAsia="Arial"/>
          <w:b w:val="0"/>
          <w:sz w:val="22"/>
        </w:rPr>
        <w:t xml:space="preserve">(i) fotografía de lo descargado por fuente; </w:t>
      </w:r>
    </w:p>
    <w:p>
      <w:pPr>
        <w:spacing w:before="0" w:after="120" w:line="276" w:lineRule="auto"/>
        <w:jc w:val="both"/>
        <w:rPr>
          <w:rFonts w:ascii="Arial" w:hAnsi="Arial" w:eastAsia="Arial"/>
          <w:b w:val="0"/>
          <w:sz w:val="22"/>
        </w:rPr>
      </w:pPr>
      <w:r>
        <w:rPr>
          <w:rFonts w:ascii="Arial" w:hAnsi="Arial" w:eastAsia="Arial"/>
          <w:b w:val="0"/>
          <w:sz w:val="22"/>
        </w:rPr>
        <w:t xml:space="preserve">(ii) hechos de evidencia por universo; y </w:t>
      </w:r>
    </w:p>
    <w:p>
      <w:pPr>
        <w:spacing w:before="0" w:after="120" w:line="276" w:lineRule="auto"/>
        <w:jc w:val="both"/>
        <w:rPr>
          <w:rFonts w:ascii="Arial" w:hAnsi="Arial" w:eastAsia="Arial"/>
          <w:b w:val="0"/>
          <w:sz w:val="22"/>
        </w:rPr>
      </w:pPr>
      <w:r>
        <w:rPr>
          <w:rFonts w:ascii="Arial" w:hAnsi="Arial" w:eastAsia="Arial"/>
          <w:b w:val="0"/>
          <w:sz w:val="22"/>
        </w:rPr>
        <w:t xml:space="preserve">(iii) hecho de negocio enriquecido para la consulta de gestión. </w:t>
      </w:r>
    </w:p>
    <w:p>
      <w:pPr>
        <w:spacing w:before="0" w:after="120" w:line="276" w:lineRule="auto"/>
        <w:jc w:val="both"/>
        <w:rPr>
          <w:rFonts w:ascii="Arial" w:hAnsi="Arial" w:eastAsia="Arial"/>
          <w:b w:val="0"/>
          <w:sz w:val="22"/>
        </w:rPr>
      </w:pPr>
    </w:p>
    <w:p>
      <w:pPr>
        <w:spacing w:before="0" w:after="120" w:line="276" w:lineRule="auto"/>
        <w:jc w:val="both"/>
      </w:pPr>
      <w:r>
        <w:rPr>
          <w:rFonts w:ascii="Arial" w:hAnsi="Arial" w:eastAsia="Arial"/>
          <w:b w:val="0"/>
          <w:sz w:val="22"/>
        </w:rPr>
        <w:t>Adicionalmente, se dispone del detalle de etapas del flujo interno en CSEP, que permite seguir el avance del proyecto de multa más allá del registro puntual de la medida.</w:t>
      </w:r>
    </w:p>
    <w:p>
      <w:pPr>
        <w:spacing w:before="0" w:after="120" w:line="276" w:lineRule="auto"/>
        <w:jc w:val="left"/>
      </w:pPr>
      <w:r>
        <w:rPr>
          <w:rFonts w:ascii="Arial" w:hAnsi="Arial" w:eastAsia="Arial"/>
          <w:b/>
          <w:sz w:val="20"/>
        </w:rPr>
        <w:t>Cuadro 3. Productos de datos depurados disponibles para consulta.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Producto</w:t>
            </w:r>
          </w:p>
        </w:tc>
        <w:tc>
          <w:tcPr>
            <w:tcW w:w="3135" w:type="dxa"/>
            <w:shd w:val="clear" w:color="auto" w:fill="D9E2F3"/>
          </w:tcPr>
          <w:p>
            <w:pPr>
              <w:spacing w:after="0" w:line="240" w:lineRule="auto"/>
            </w:pPr>
            <w:r>
              <w:rPr>
                <w:rFonts w:ascii="Arial" w:hAnsi="Arial" w:eastAsia="Arial"/>
                <w:b/>
                <w:sz w:val="18"/>
              </w:rPr>
              <w:t>Contenido (lenguaje de negocio)</w:t>
            </w:r>
          </w:p>
        </w:tc>
        <w:tc>
          <w:tcPr>
            <w:tcW w:w="3135" w:type="dxa"/>
            <w:shd w:val="clear" w:color="auto" w:fill="D9E2F3"/>
          </w:tcPr>
          <w:p>
            <w:pPr>
              <w:spacing w:after="0" w:line="240" w:lineRule="auto"/>
            </w:pPr>
            <w:r>
              <w:rPr>
                <w:rFonts w:ascii="Arial" w:hAnsi="Arial" w:eastAsia="Arial"/>
                <w:b/>
                <w:sz w:val="18"/>
              </w:rPr>
              <w:t>Para qué sirve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Evidencia CSEP</w:t>
            </w:r>
          </w:p>
        </w:tc>
        <w:tc>
          <w:tcPr>
            <w:tcW w:w="3135" w:type="dxa"/>
          </w:tcPr>
          <w:p>
            <w:pPr>
              <w:spacing w:after="0" w:line="240" w:lineRule="auto"/>
            </w:pPr>
            <w:r>
              <w:rPr>
                <w:rFonts w:ascii="Arial" w:hAnsi="Arial" w:eastAsia="Arial"/>
                <w:b w:val="0"/>
                <w:sz w:val="18"/>
              </w:rPr>
              <w:t>Multas descargadas de las 10 planillas CSEP</w:t>
            </w:r>
          </w:p>
        </w:tc>
        <w:tc>
          <w:tcPr>
            <w:tcW w:w="3135" w:type="dxa"/>
          </w:tcPr>
          <w:p>
            <w:pPr>
              <w:spacing w:after="0" w:line="240" w:lineRule="auto"/>
            </w:pPr>
            <w:r>
              <w:rPr>
                <w:rFonts w:ascii="Arial" w:hAnsi="Arial" w:eastAsia="Arial"/>
                <w:b w:val="0"/>
                <w:sz w:val="18"/>
              </w:rPr>
              <w:t>Ver qué entró desde 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Evidencia OD</w:t>
            </w:r>
          </w:p>
        </w:tc>
        <w:tc>
          <w:tcPr>
            <w:tcW w:w="3135" w:type="dxa"/>
          </w:tcPr>
          <w:p>
            <w:pPr>
              <w:spacing w:after="0" w:line="240" w:lineRule="auto"/>
            </w:pPr>
            <w:r>
              <w:t>Multas descargadas de las 31 planillas OD</w:t>
            </w:r>
          </w:p>
        </w:tc>
        <w:tc>
          <w:tcPr>
            <w:tcW w:w="3135" w:type="dxa"/>
          </w:tcPr>
          <w:p>
            <w:pPr>
              <w:spacing w:after="0" w:line="240" w:lineRule="auto"/>
            </w:pPr>
            <w:r>
              <w:rPr>
                <w:rFonts w:ascii="Arial" w:hAnsi="Arial" w:eastAsia="Arial"/>
                <w:b w:val="0"/>
                <w:sz w:val="18"/>
              </w:rPr>
              <w:t>Ver qué entró desde 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Evidencia SISUD</w:t>
            </w:r>
          </w:p>
        </w:tc>
        <w:tc>
          <w:tcPr>
            <w:tcW w:w="3135" w:type="dxa"/>
          </w:tcPr>
          <w:p>
            <w:pPr>
              <w:spacing w:after="0" w:line="240" w:lineRule="auto"/>
            </w:pPr>
            <w:r>
              <w:rPr>
                <w:rFonts w:ascii="Arial" w:hAnsi="Arial" w:eastAsia="Arial"/>
                <w:b w:val="0"/>
                <w:sz w:val="18"/>
              </w:rPr>
              <w:t>Multas de la vista institucional</w:t>
            </w:r>
          </w:p>
        </w:tc>
        <w:tc>
          <w:tcPr>
            <w:tcW w:w="3135" w:type="dxa"/>
          </w:tcPr>
          <w:p>
            <w:pPr>
              <w:spacing w:after="0" w:line="240" w:lineRule="auto"/>
            </w:pPr>
            <w:r>
              <w:rPr>
                <w:rFonts w:ascii="Arial" w:hAnsi="Arial" w:eastAsia="Arial"/>
                <w:b w:val="0"/>
                <w:sz w:val="18"/>
              </w:rPr>
              <w:t>Ver qué entró desde F5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Hecho de negocio</w:t>
            </w:r>
          </w:p>
        </w:tc>
        <w:tc>
          <w:tcPr>
            <w:tcW w:w="3135" w:type="dxa"/>
          </w:tcPr>
          <w:p>
            <w:pPr>
              <w:spacing w:after="0" w:line="240" w:lineRule="auto"/>
            </w:pPr>
            <w:r>
              <w:rPr>
                <w:rFonts w:ascii="Arial" w:hAnsi="Arial" w:eastAsia="Arial"/>
                <w:b w:val="0"/>
                <w:sz w:val="18"/>
              </w:rPr>
              <w:t>Planillas + CUM/CAM cuando hay correspondencia</w:t>
            </w:r>
          </w:p>
        </w:tc>
        <w:tc>
          <w:tcPr>
            <w:tcW w:w="3135" w:type="dxa"/>
          </w:tcPr>
          <w:p>
            <w:pPr>
              <w:spacing w:after="0" w:line="240" w:lineRule="auto"/>
            </w:pPr>
            <w:r>
              <w:rPr>
                <w:rFonts w:ascii="Arial" w:hAnsi="Arial" w:eastAsia="Arial"/>
                <w:b w:val="0"/>
                <w:sz w:val="18"/>
              </w:rPr>
              <w:t>Análisis de seguimiento y gestión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Detalle de etapas</w:t>
            </w:r>
          </w:p>
        </w:tc>
        <w:tc>
          <w:tcPr>
            <w:tcW w:w="3135" w:type="dxa"/>
          </w:tcPr>
          <w:p>
            <w:pPr>
              <w:spacing w:after="0" w:line="240" w:lineRule="auto"/>
            </w:pPr>
            <w:r>
              <w:rPr>
                <w:rFonts w:ascii="Arial" w:hAnsi="Arial" w:eastAsia="Arial"/>
                <w:b w:val="0"/>
                <w:sz w:val="18"/>
              </w:rPr>
              <w:t>Etapas del proyecto de multa (CSEP)</w:t>
            </w:r>
          </w:p>
        </w:tc>
        <w:tc>
          <w:tcPr>
            <w:tcW w:w="3135" w:type="dxa"/>
          </w:tcPr>
          <w:p>
            <w:pPr>
              <w:spacing w:after="0" w:line="240" w:lineRule="auto"/>
            </w:pPr>
            <w:r>
              <w:rPr>
                <w:rFonts w:ascii="Arial" w:hAnsi="Arial" w:eastAsia="Arial"/>
                <w:b w:val="0"/>
                <w:sz w:val="18"/>
              </w:rPr>
              <w:t>Seguimiento del flujo interno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Auditoría (foto cruda)</w:t>
            </w:r>
          </w:p>
        </w:tc>
        <w:tc>
          <w:tcPr>
            <w:tcW w:w="3135" w:type="dxa"/>
          </w:tcPr>
          <w:p>
            <w:pPr>
              <w:spacing w:after="0" w:line="240" w:lineRule="auto"/>
            </w:pPr>
            <w:r>
              <w:rPr>
                <w:rFonts w:ascii="Arial" w:hAnsi="Arial" w:eastAsia="Arial"/>
                <w:b w:val="0"/>
                <w:sz w:val="18"/>
              </w:rPr>
              <w:t>Copia 1:1 de lo leído en la extracción</w:t>
            </w:r>
          </w:p>
        </w:tc>
        <w:tc>
          <w:tcPr>
            <w:tcW w:w="3135" w:type="dxa"/>
          </w:tcPr>
          <w:p>
            <w:pPr>
              <w:spacing w:after="0" w:line="240" w:lineRule="auto"/>
            </w:pPr>
            <w:r>
              <w:rPr>
                <w:rFonts w:ascii="Arial" w:hAnsi="Arial" w:eastAsia="Arial"/>
                <w:b w:val="0"/>
                <w:sz w:val="18"/>
              </w:rPr>
              <w:t>Respaldo ante revisión / contraste</w:t>
            </w:r>
          </w:p>
        </w:tc>
      </w:tr>
    </w:tbl>
    <w:p/>
    <w:p>
      <w:pPr>
        <w:spacing w:before="0" w:after="120" w:line="276" w:lineRule="auto"/>
        <w:jc w:val="both"/>
      </w:pPr>
      <w:r>
        <w:rPr>
          <w:rFonts w:ascii="Arial" w:hAnsi="Arial" w:eastAsia="Arial"/>
          <w:b w:val="0"/>
          <w:sz w:val="22"/>
        </w:rPr>
        <w:t>6.1. Esta organización permite responder, con claridad, tanto a una pregunta de “¿qué se descargó de cada fuente?” como a una pregunta de “¿cómo va el seguimiento operativo de las planillas, con o sin CUM/CAM?”. Ambas lecturas son necesarias para la gestión y para la auditoría del proceso de datos.</w:t>
      </w:r>
    </w:p>
    <w:p>
      <w:pPr>
        <w:spacing w:before="0" w:after="120" w:line="276" w:lineRule="auto"/>
        <w:jc w:val="both"/>
      </w:pPr>
      <w:r>
        <w:rPr>
          <w:rFonts w:ascii="Arial" w:hAnsi="Arial" w:eastAsia="Arial"/>
          <w:b w:val="0"/>
          <w:sz w:val="22"/>
        </w:rPr>
        <w:t>7. Sustento de la actividad: Como sustento de la Actividad d) del presente informe, se ha elaborado el Anexo D-1: “Depuración, estandarización y homologación de bases de multas coercitivas”, ubicado en la carpeta “Actividad D” del adjunto “Anexos Informe 2”.</w:t>
      </w:r>
    </w:p>
    <w:p>
      <w:pPr>
        <w:spacing w:before="0" w:after="120" w:line="276" w:lineRule="auto"/>
        <w:jc w:val="both"/>
      </w:pPr>
      <w:r>
        <w:rPr>
          <w:rFonts w:ascii="Arial" w:hAnsi="Arial" w:eastAsia="Arial"/>
          <w:b/>
          <w:sz w:val="22"/>
        </w:rPr>
        <w:t>e) Aplicar controles de aseguramiento de la calidad de la información, garantizando la trazabilidad entre las fuentes originales, las bases consolidadas, las bases depuradas y las bases finales validadas.</w:t>
      </w:r>
    </w:p>
    <w:p>
      <w:pPr>
        <w:spacing w:before="0" w:after="120" w:line="276" w:lineRule="auto"/>
        <w:jc w:val="both"/>
      </w:pPr>
      <w:r>
        <w:rPr>
          <w:rFonts w:ascii="Arial" w:hAnsi="Arial" w:eastAsia="Arial"/>
          <w:b w:val="0"/>
          <w:sz w:val="22"/>
        </w:rPr>
        <w:t>8. Controles de calidad implementados: Se aplicaron reglas de completitud de llaves, formato de identificadores institucionales, coherencia temporal del ciclo (vencimiento respecto de la notificación), montos no negativos y coherencia entre UIT y soles. Los hallazgos se registran sin descartar la fila de origen: el registro permanece disponible y queda marcado para su tratamiento. Este enfoque es coherente con un entregable auditable, en el que la observación también forma parte de la evidencia.</w:t>
      </w:r>
    </w:p>
    <w:p>
      <w:pPr>
        <w:spacing w:before="0" w:after="120" w:line="276" w:lineRule="auto"/>
        <w:jc w:val="left"/>
      </w:pPr>
      <w:r>
        <w:rPr>
          <w:rFonts w:ascii="Arial" w:hAnsi="Arial" w:eastAsia="Arial"/>
          <w:b/>
          <w:sz w:val="20"/>
        </w:rPr>
        <w:t>Cuadro 4. Controles de aseguramiento de la calidad (síntesis).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Control</w:t>
            </w:r>
          </w:p>
        </w:tc>
        <w:tc>
          <w:tcPr>
            <w:tcW w:w="3135" w:type="dxa"/>
            <w:shd w:val="clear" w:color="auto" w:fill="D9E2F3"/>
          </w:tcPr>
          <w:p>
            <w:pPr>
              <w:spacing w:after="0" w:line="240" w:lineRule="auto"/>
            </w:pPr>
            <w:r>
              <w:rPr>
                <w:rFonts w:ascii="Arial" w:hAnsi="Arial" w:eastAsia="Arial"/>
                <w:b/>
                <w:sz w:val="18"/>
              </w:rPr>
              <w:t>Qué verifica</w:t>
            </w:r>
          </w:p>
        </w:tc>
        <w:tc>
          <w:tcPr>
            <w:tcW w:w="3135" w:type="dxa"/>
            <w:shd w:val="clear" w:color="auto" w:fill="D9E2F3"/>
          </w:tcPr>
          <w:p>
            <w:pPr>
              <w:spacing w:after="0" w:line="240" w:lineRule="auto"/>
            </w:pPr>
            <w:r>
              <w:rPr>
                <w:rFonts w:ascii="Arial" w:hAnsi="Arial" w:eastAsia="Arial"/>
                <w:b/>
                <w:sz w:val="18"/>
              </w:rPr>
              <w:t>Tratamiento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Completitud de llaves</w:t>
            </w:r>
          </w:p>
        </w:tc>
        <w:tc>
          <w:tcPr>
            <w:tcW w:w="3135" w:type="dxa"/>
          </w:tcPr>
          <w:p>
            <w:pPr>
              <w:spacing w:after="0" w:line="240" w:lineRule="auto"/>
            </w:pPr>
            <w:r>
              <w:rPr>
                <w:rFonts w:ascii="Arial" w:hAnsi="Arial" w:eastAsia="Arial"/>
                <w:b w:val="0"/>
                <w:sz w:val="18"/>
              </w:rPr>
              <w:t>Presencia de código de medida / CUM-CAM según fuente</w:t>
            </w:r>
          </w:p>
        </w:tc>
        <w:tc>
          <w:tcPr>
            <w:tcW w:w="3135" w:type="dxa"/>
          </w:tcPr>
          <w:p>
            <w:pPr>
              <w:spacing w:after="0" w:line="240" w:lineRule="auto"/>
            </w:pPr>
            <w:r>
              <w:rPr>
                <w:rFonts w:ascii="Arial" w:hAnsi="Arial" w:eastAsia="Arial"/>
                <w:b w:val="0"/>
                <w:sz w:val="18"/>
              </w:rPr>
              <w:t>Se marca; no se elimina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Formato de identificadores</w:t>
            </w:r>
          </w:p>
        </w:tc>
        <w:tc>
          <w:tcPr>
            <w:tcW w:w="3135" w:type="dxa"/>
          </w:tcPr>
          <w:p>
            <w:pPr>
              <w:spacing w:after="0" w:line="240" w:lineRule="auto"/>
            </w:pPr>
            <w:r>
              <w:rPr>
                <w:rFonts w:ascii="Arial" w:hAnsi="Arial" w:eastAsia="Arial"/>
                <w:b w:val="0"/>
                <w:sz w:val="18"/>
              </w:rPr>
              <w:t>Longitud y patrón esperados de CUM/CAM</w:t>
            </w:r>
          </w:p>
        </w:tc>
        <w:tc>
          <w:tcPr>
            <w:tcW w:w="3135" w:type="dxa"/>
          </w:tcPr>
          <w:p>
            <w:pPr>
              <w:spacing w:after="0" w:line="240" w:lineRule="auto"/>
            </w:pPr>
            <w:r>
              <w:rPr>
                <w:rFonts w:ascii="Arial" w:hAnsi="Arial" w:eastAsia="Arial"/>
                <w:b w:val="0"/>
                <w:sz w:val="18"/>
              </w:rPr>
              <w:t>Se registra hallazgo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Coherencia de fechas</w:t>
            </w:r>
          </w:p>
        </w:tc>
        <w:tc>
          <w:tcPr>
            <w:tcW w:w="3135" w:type="dxa"/>
          </w:tcPr>
          <w:p>
            <w:pPr>
              <w:spacing w:after="0" w:line="240" w:lineRule="auto"/>
            </w:pPr>
            <w:r>
              <w:rPr>
                <w:rFonts w:ascii="Arial" w:hAnsi="Arial" w:eastAsia="Arial"/>
                <w:b w:val="0"/>
                <w:sz w:val="18"/>
              </w:rPr>
              <w:t>Vencimiento coherente con notificación</w:t>
            </w:r>
          </w:p>
        </w:tc>
        <w:tc>
          <w:tcPr>
            <w:tcW w:w="3135" w:type="dxa"/>
          </w:tcPr>
          <w:p>
            <w:pPr>
              <w:spacing w:after="0" w:line="240" w:lineRule="auto"/>
            </w:pPr>
            <w:r>
              <w:rPr>
                <w:rFonts w:ascii="Arial" w:hAnsi="Arial" w:eastAsia="Arial"/>
                <w:b w:val="0"/>
                <w:sz w:val="18"/>
              </w:rPr>
              <w:t>Se marca inconsistencia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Montos</w:t>
            </w:r>
          </w:p>
        </w:tc>
        <w:tc>
          <w:tcPr>
            <w:tcW w:w="3135" w:type="dxa"/>
          </w:tcPr>
          <w:p>
            <w:pPr>
              <w:spacing w:after="0" w:line="240" w:lineRule="auto"/>
            </w:pPr>
            <w:r>
              <w:rPr>
                <w:rFonts w:ascii="Arial" w:hAnsi="Arial" w:eastAsia="Arial"/>
                <w:b w:val="0"/>
                <w:sz w:val="18"/>
              </w:rPr>
              <w:t>UIT/soles ≥ 0 y coherencia UIT × valor UIT</w:t>
            </w:r>
          </w:p>
        </w:tc>
        <w:tc>
          <w:tcPr>
            <w:tcW w:w="3135" w:type="dxa"/>
          </w:tcPr>
          <w:p>
            <w:pPr>
              <w:spacing w:after="0" w:line="240" w:lineRule="auto"/>
            </w:pPr>
            <w:r>
              <w:rPr>
                <w:rFonts w:ascii="Arial" w:hAnsi="Arial" w:eastAsia="Arial"/>
                <w:b w:val="0"/>
                <w:sz w:val="18"/>
              </w:rPr>
              <w:t>Se marca desviación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Amarre entre fuentes</w:t>
            </w:r>
          </w:p>
        </w:tc>
        <w:tc>
          <w:tcPr>
            <w:tcW w:w="3135" w:type="dxa"/>
          </w:tcPr>
          <w:p>
            <w:pPr>
              <w:spacing w:after="0" w:line="240" w:lineRule="auto"/>
            </w:pPr>
            <w:r>
              <w:rPr>
                <w:rFonts w:ascii="Arial" w:hAnsi="Arial" w:eastAsia="Arial"/>
                <w:b w:val="0"/>
                <w:sz w:val="18"/>
              </w:rPr>
              <w:t>Correspondencia planillas ↔ núcleo institucional</w:t>
            </w:r>
          </w:p>
        </w:tc>
        <w:tc>
          <w:tcPr>
            <w:tcW w:w="3135" w:type="dxa"/>
          </w:tcPr>
          <w:p>
            <w:pPr>
              <w:spacing w:after="0" w:line="240" w:lineRule="auto"/>
            </w:pPr>
            <w:r>
              <w:rPr>
                <w:rFonts w:ascii="Arial" w:hAnsi="Arial" w:eastAsia="Arial"/>
                <w:b w:val="0"/>
                <w:sz w:val="18"/>
              </w:rPr>
              <w:t>Resumen y detalle de no match</w:t>
            </w:r>
          </w:p>
        </w:tc>
      </w:tr>
    </w:tbl>
    <w:p/>
    <w:p>
      <w:pPr>
        <w:spacing w:before="0" w:after="120" w:line="276" w:lineRule="auto"/>
        <w:jc w:val="both"/>
      </w:pPr>
      <w:r>
        <w:rPr>
          <w:rFonts w:ascii="Arial" w:hAnsi="Arial" w:eastAsia="Arial"/>
          <w:b w:val="0"/>
          <w:sz w:val="22"/>
        </w:rPr>
        <w:t>8.1. El amarre entre planillas y núcleo institucional no se interpreta como un “join” que reduce el universo a la intersección. Se mide la correspondencia y se documenta qué claves quedan solo en un lado. Ello permite conocer el grado de alineamiento sin perder filas de seguimiento operativo.</w:t>
      </w:r>
    </w:p>
    <w:p>
      <w:pPr>
        <w:spacing w:before="0" w:after="120" w:line="276" w:lineRule="auto"/>
        <w:jc w:val="both"/>
      </w:pPr>
      <w:r>
        <w:rPr>
          <w:rFonts w:ascii="Arial" w:hAnsi="Arial" w:eastAsia="Arial"/>
          <w:b w:val="0"/>
          <w:sz w:val="22"/>
        </w:rPr>
        <w:t>9. Trazabilidad de extremo a extremo: Cada fila conserva el origen institucional (universo CSEP, OD o SISUD), la fecha de carga y, en la capa de auditoría, la fotografía cruda de lo leído desde la fuente. De este modo es posible recorrer: fuente original → extracción intermedia → base depurada → base final validada, sin perder el hilo de procedencia. La capa de auditoría está pensada para contrastes puntuales ante observaciones de área usuaria o de revisión interna.</w:t>
      </w:r>
    </w:p>
    <w:p>
      <w:pPr>
        <w:spacing w:before="0" w:after="120" w:line="276" w:lineRule="auto"/>
        <w:jc w:val="left"/>
      </w:pPr>
      <w:r>
        <w:rPr>
          <w:rFonts w:ascii="Arial" w:hAnsi="Arial" w:eastAsia="Arial"/>
          <w:b/>
          <w:sz w:val="20"/>
        </w:rPr>
        <w:t>Cuadro 5. Cadena de trazabilidad implementada.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Eslabón</w:t>
            </w:r>
          </w:p>
        </w:tc>
        <w:tc>
          <w:tcPr>
            <w:tcW w:w="3135" w:type="dxa"/>
            <w:shd w:val="clear" w:color="auto" w:fill="D9E2F3"/>
          </w:tcPr>
          <w:p>
            <w:pPr>
              <w:spacing w:after="0" w:line="240" w:lineRule="auto"/>
            </w:pPr>
            <w:r>
              <w:rPr>
                <w:rFonts w:ascii="Arial" w:hAnsi="Arial" w:eastAsia="Arial"/>
                <w:b/>
                <w:sz w:val="18"/>
              </w:rPr>
              <w:t>Qué contiene</w:t>
            </w:r>
          </w:p>
        </w:tc>
        <w:tc>
          <w:tcPr>
            <w:tcW w:w="3135" w:type="dxa"/>
            <w:shd w:val="clear" w:color="auto" w:fill="D9E2F3"/>
          </w:tcPr>
          <w:p>
            <w:pPr>
              <w:spacing w:after="0" w:line="240" w:lineRule="auto"/>
            </w:pPr>
            <w:r>
              <w:rPr>
                <w:rFonts w:ascii="Arial" w:hAnsi="Arial" w:eastAsia="Arial"/>
                <w:b/>
                <w:sz w:val="18"/>
              </w:rPr>
              <w:t>Garantía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Fuente original</w:t>
            </w:r>
          </w:p>
        </w:tc>
        <w:tc>
          <w:tcPr>
            <w:tcW w:w="3135" w:type="dxa"/>
          </w:tcPr>
          <w:p>
            <w:pPr>
              <w:spacing w:after="0" w:line="240" w:lineRule="auto"/>
            </w:pPr>
            <w:r>
              <w:t>31 Sheets OD, 10 Sheets CSEP y vista SISUD</w:t>
            </w:r>
          </w:p>
        </w:tc>
        <w:tc>
          <w:tcPr>
            <w:tcW w:w="3135" w:type="dxa"/>
          </w:tcPr>
          <w:p>
            <w:pPr>
              <w:spacing w:after="0" w:line="240" w:lineRule="auto"/>
            </w:pPr>
            <w:r>
              <w:rPr>
                <w:rFonts w:ascii="Arial" w:hAnsi="Arial" w:eastAsia="Arial"/>
                <w:b w:val="0"/>
                <w:sz w:val="18"/>
              </w:rPr>
              <w:t>Input institucional vigente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Extracción intermedia</w:t>
            </w:r>
          </w:p>
        </w:tc>
        <w:tc>
          <w:tcPr>
            <w:tcW w:w="3135" w:type="dxa"/>
          </w:tcPr>
          <w:p>
            <w:pPr>
              <w:spacing w:after="0" w:line="240" w:lineRule="auto"/>
            </w:pPr>
            <w:r>
              <w:rPr>
                <w:rFonts w:ascii="Arial" w:hAnsi="Arial" w:eastAsia="Arial"/>
                <w:b w:val="0"/>
                <w:sz w:val="18"/>
              </w:rPr>
              <w:t>Copia operativa de la corrida</w:t>
            </w:r>
          </w:p>
        </w:tc>
        <w:tc>
          <w:tcPr>
            <w:tcW w:w="3135" w:type="dxa"/>
          </w:tcPr>
          <w:p>
            <w:pPr>
              <w:spacing w:after="0" w:line="240" w:lineRule="auto"/>
            </w:pPr>
            <w:r>
              <w:rPr>
                <w:rFonts w:ascii="Arial" w:hAnsi="Arial" w:eastAsia="Arial"/>
                <w:b w:val="0"/>
                <w:sz w:val="18"/>
              </w:rPr>
              <w:t>Reproducibilidad del proceso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Auditoría (foto cruda)</w:t>
            </w:r>
          </w:p>
        </w:tc>
        <w:tc>
          <w:tcPr>
            <w:tcW w:w="3135" w:type="dxa"/>
          </w:tcPr>
          <w:p>
            <w:pPr>
              <w:spacing w:after="0" w:line="240" w:lineRule="auto"/>
            </w:pPr>
            <w:r>
              <w:rPr>
                <w:rFonts w:ascii="Arial" w:hAnsi="Arial" w:eastAsia="Arial"/>
                <w:b w:val="0"/>
                <w:sz w:val="18"/>
              </w:rPr>
              <w:t>Columnas 1:1 del origen</w:t>
            </w:r>
          </w:p>
        </w:tc>
        <w:tc>
          <w:tcPr>
            <w:tcW w:w="3135" w:type="dxa"/>
          </w:tcPr>
          <w:p>
            <w:pPr>
              <w:spacing w:after="0" w:line="240" w:lineRule="auto"/>
            </w:pPr>
            <w:r>
              <w:rPr>
                <w:rFonts w:ascii="Arial" w:hAnsi="Arial" w:eastAsia="Arial"/>
                <w:b w:val="0"/>
                <w:sz w:val="18"/>
              </w:rPr>
              <w:t>Contraste ante observación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Evidencia por universo</w:t>
            </w:r>
          </w:p>
        </w:tc>
        <w:tc>
          <w:tcPr>
            <w:tcW w:w="3135" w:type="dxa"/>
          </w:tcPr>
          <w:p>
            <w:pPr>
              <w:spacing w:after="0" w:line="240" w:lineRule="auto"/>
            </w:pPr>
            <w:r>
              <w:rPr>
                <w:rFonts w:ascii="Arial" w:hAnsi="Arial" w:eastAsia="Arial"/>
                <w:b w:val="0"/>
                <w:sz w:val="18"/>
              </w:rPr>
              <w:t>Hechos separados F1 / F2 / F5</w:t>
            </w:r>
          </w:p>
        </w:tc>
        <w:tc>
          <w:tcPr>
            <w:tcW w:w="3135" w:type="dxa"/>
          </w:tcPr>
          <w:p>
            <w:pPr>
              <w:spacing w:after="0" w:line="240" w:lineRule="auto"/>
            </w:pPr>
            <w:r>
              <w:rPr>
                <w:rFonts w:ascii="Arial" w:hAnsi="Arial" w:eastAsia="Arial"/>
                <w:b w:val="0"/>
                <w:sz w:val="18"/>
              </w:rPr>
              <w:t>No se mezclan conteos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Base final de negocio</w:t>
            </w:r>
          </w:p>
        </w:tc>
        <w:tc>
          <w:tcPr>
            <w:tcW w:w="3135" w:type="dxa"/>
          </w:tcPr>
          <w:p>
            <w:pPr>
              <w:spacing w:after="0" w:line="240" w:lineRule="auto"/>
            </w:pPr>
            <w:r>
              <w:rPr>
                <w:rFonts w:ascii="Arial" w:hAnsi="Arial" w:eastAsia="Arial"/>
                <w:b w:val="0"/>
                <w:sz w:val="18"/>
              </w:rPr>
              <w:t>Planilla enriquecida con CUM/CAM</w:t>
            </w:r>
          </w:p>
        </w:tc>
        <w:tc>
          <w:tcPr>
            <w:tcW w:w="3135" w:type="dxa"/>
          </w:tcPr>
          <w:p>
            <w:pPr>
              <w:spacing w:after="0" w:line="240" w:lineRule="auto"/>
            </w:pPr>
            <w:r>
              <w:rPr>
                <w:rFonts w:ascii="Arial" w:hAnsi="Arial" w:eastAsia="Arial"/>
                <w:b w:val="0"/>
                <w:sz w:val="18"/>
              </w:rPr>
              <w:t>Consulta gerencial / analítica</w:t>
            </w:r>
          </w:p>
        </w:tc>
      </w:tr>
    </w:tbl>
    <w:p/>
    <w:p>
      <w:pPr>
        <w:spacing w:before="0" w:after="120" w:line="276" w:lineRule="auto"/>
        <w:jc w:val="both"/>
      </w:pPr>
      <w:r>
        <w:rPr>
          <w:rFonts w:ascii="Arial" w:hAnsi="Arial" w:eastAsia="Arial"/>
          <w:b w:val="0"/>
          <w:sz w:val="22"/>
        </w:rPr>
        <w:t>9.1. Criterio de no doble conteo: los universos CSEP, OD y SISUD no deben sumarse como un único censo de “todas las multas”, porque representan seguimientos distintos. El análisis debe acotarse por universo o usar el hecho de negocio según la pregunta de gestión. Esta regla evita conclusiones infladas o no comparables.</w:t>
      </w:r>
    </w:p>
    <w:p>
      <w:pPr>
        <w:spacing w:before="0" w:after="120" w:line="276" w:lineRule="auto"/>
        <w:jc w:val="both"/>
        <w:rPr>
          <w:rFonts w:ascii="Arial" w:hAnsi="Arial" w:eastAsia="Arial"/>
          <w:b w:val="0"/>
          <w:sz w:val="22"/>
        </w:rPr>
      </w:pPr>
      <w:r>
        <w:rPr>
          <w:rFonts w:ascii="Arial" w:hAnsi="Arial" w:eastAsia="Arial"/>
          <w:b w:val="0"/>
          <w:sz w:val="22"/>
        </w:rPr>
        <w:t>10. Volúmenes de referencia (corrida vigente del Segundo Entregable): La carga al almacén de datos refleja aproximadamente el siguiente orden de magnitud por universo de evidencia y por hecho de negocio. Los valores exactos dependen de la fecha de corrida y de la actualización de las planillas fuente; lo relevante para este entregable es la magnitud y la separación por universo.</w:t>
      </w: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left"/>
      </w:pPr>
      <w:r>
        <w:rPr>
          <w:rFonts w:ascii="Arial" w:hAnsi="Arial" w:eastAsia="Arial"/>
          <w:b/>
          <w:sz w:val="20"/>
        </w:rPr>
        <w:t>Cuadro 6. Órdenes de magnitud de la carga vigente (multas).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Producto</w:t>
            </w:r>
          </w:p>
        </w:tc>
        <w:tc>
          <w:tcPr>
            <w:tcW w:w="3135" w:type="dxa"/>
            <w:shd w:val="clear" w:color="auto" w:fill="D9E2F3"/>
          </w:tcPr>
          <w:p>
            <w:pPr>
              <w:spacing w:after="0" w:line="240" w:lineRule="auto"/>
            </w:pPr>
            <w:r>
              <w:rPr>
                <w:rFonts w:ascii="Arial" w:hAnsi="Arial" w:eastAsia="Arial"/>
                <w:b/>
                <w:sz w:val="18"/>
              </w:rPr>
              <w:t>Orden de magnitud (filas)</w:t>
            </w:r>
          </w:p>
        </w:tc>
        <w:tc>
          <w:tcPr>
            <w:tcW w:w="3135" w:type="dxa"/>
            <w:shd w:val="clear" w:color="auto" w:fill="D9E2F3"/>
          </w:tcPr>
          <w:p>
            <w:pPr>
              <w:spacing w:after="0" w:line="240" w:lineRule="auto"/>
            </w:pPr>
            <w:r>
              <w:rPr>
                <w:rFonts w:ascii="Arial" w:hAnsi="Arial" w:eastAsia="Arial"/>
                <w:b/>
                <w:sz w:val="18"/>
              </w:rPr>
              <w:t>Observación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Evidencia CSEP (F2)</w:t>
            </w:r>
          </w:p>
        </w:tc>
        <w:tc>
          <w:tcPr>
            <w:tcW w:w="3135" w:type="dxa"/>
          </w:tcPr>
          <w:p>
            <w:pPr>
              <w:spacing w:after="0" w:line="240" w:lineRule="auto"/>
            </w:pPr>
            <w:r>
              <w:rPr>
                <w:rFonts w:ascii="Arial" w:hAnsi="Arial" w:eastAsia="Arial"/>
                <w:b w:val="0"/>
                <w:sz w:val="18"/>
              </w:rPr>
              <w:t>≈ 990</w:t>
            </w:r>
          </w:p>
        </w:tc>
        <w:tc>
          <w:tcPr>
            <w:tcW w:w="3135" w:type="dxa"/>
          </w:tcPr>
          <w:p>
            <w:pPr>
              <w:spacing w:after="0" w:line="240" w:lineRule="auto"/>
            </w:pPr>
            <w:r>
              <w:rPr>
                <w:rFonts w:ascii="Arial" w:hAnsi="Arial" w:eastAsia="Arial"/>
                <w:b w:val="0"/>
                <w:sz w:val="18"/>
              </w:rPr>
              <w:t>Planillas de las 10 unidades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Evidencia OD (F1)</w:t>
            </w:r>
          </w:p>
        </w:tc>
        <w:tc>
          <w:tcPr>
            <w:tcW w:w="3135" w:type="dxa"/>
          </w:tcPr>
          <w:p>
            <w:pPr>
              <w:spacing w:after="0" w:line="240" w:lineRule="auto"/>
            </w:pPr>
            <w:r>
              <w:rPr>
                <w:rFonts w:ascii="Arial" w:hAnsi="Arial" w:eastAsia="Arial"/>
                <w:b w:val="0"/>
                <w:sz w:val="18"/>
              </w:rPr>
              <w:t>≈ 280</w:t>
            </w:r>
          </w:p>
        </w:tc>
        <w:tc>
          <w:tcPr>
            <w:tcW w:w="3135" w:type="dxa"/>
          </w:tcPr>
          <w:p>
            <w:pPr>
              <w:spacing w:after="0" w:line="240" w:lineRule="auto"/>
            </w:pPr>
            <w:r>
              <w:t>Planillas de las 31 oficinas desconcentradas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Evidencia SISUD (F5)</w:t>
            </w:r>
          </w:p>
        </w:tc>
        <w:tc>
          <w:tcPr>
            <w:tcW w:w="3135" w:type="dxa"/>
          </w:tcPr>
          <w:p>
            <w:pPr>
              <w:spacing w:after="0" w:line="240" w:lineRule="auto"/>
            </w:pPr>
            <w:r>
              <w:rPr>
                <w:rFonts w:ascii="Arial" w:hAnsi="Arial" w:eastAsia="Arial"/>
                <w:b w:val="0"/>
                <w:sz w:val="18"/>
              </w:rPr>
              <w:t>≈ 530</w:t>
            </w:r>
          </w:p>
        </w:tc>
        <w:tc>
          <w:tcPr>
            <w:tcW w:w="3135" w:type="dxa"/>
          </w:tcPr>
          <w:p>
            <w:pPr>
              <w:spacing w:after="0" w:line="240" w:lineRule="auto"/>
            </w:pPr>
            <w:r>
              <w:rPr>
                <w:rFonts w:ascii="Arial" w:hAnsi="Arial" w:eastAsia="Arial"/>
                <w:b w:val="0"/>
                <w:sz w:val="18"/>
              </w:rPr>
              <w:t>Vista institucional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Hecho de negocio enriquecido</w:t>
            </w:r>
          </w:p>
        </w:tc>
        <w:tc>
          <w:tcPr>
            <w:tcW w:w="3135" w:type="dxa"/>
          </w:tcPr>
          <w:p>
            <w:pPr>
              <w:spacing w:after="0" w:line="240" w:lineRule="auto"/>
            </w:pPr>
            <w:r>
              <w:rPr>
                <w:rFonts w:ascii="Arial" w:hAnsi="Arial" w:eastAsia="Arial"/>
                <w:b w:val="0"/>
                <w:sz w:val="18"/>
              </w:rPr>
              <w:t>≈ 1 270</w:t>
            </w:r>
          </w:p>
        </w:tc>
        <w:tc>
          <w:tcPr>
            <w:tcW w:w="3135" w:type="dxa"/>
          </w:tcPr>
          <w:p>
            <w:pPr>
              <w:spacing w:after="0" w:line="240" w:lineRule="auto"/>
            </w:pPr>
            <w:r>
              <w:rPr>
                <w:rFonts w:ascii="Arial" w:hAnsi="Arial" w:eastAsia="Arial"/>
                <w:b w:val="0"/>
                <w:sz w:val="18"/>
              </w:rPr>
              <w:t>Base planillas + lookup CUM/CAM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Auditoría (foto cruda)</w:t>
            </w:r>
          </w:p>
        </w:tc>
        <w:tc>
          <w:tcPr>
            <w:tcW w:w="3135" w:type="dxa"/>
          </w:tcPr>
          <w:p>
            <w:pPr>
              <w:spacing w:after="0" w:line="240" w:lineRule="auto"/>
            </w:pPr>
            <w:r>
              <w:rPr>
                <w:rFonts w:ascii="Arial" w:hAnsi="Arial" w:eastAsia="Arial"/>
                <w:b w:val="0"/>
                <w:sz w:val="18"/>
              </w:rPr>
              <w:t>Alineada a la extracción</w:t>
            </w:r>
          </w:p>
        </w:tc>
        <w:tc>
          <w:tcPr>
            <w:tcW w:w="3135" w:type="dxa"/>
          </w:tcPr>
          <w:p>
            <w:pPr>
              <w:spacing w:after="0" w:line="240" w:lineRule="auto"/>
            </w:pPr>
            <w:r>
              <w:rPr>
                <w:rFonts w:ascii="Arial" w:hAnsi="Arial" w:eastAsia="Arial"/>
                <w:b w:val="0"/>
                <w:sz w:val="18"/>
              </w:rPr>
              <w:t>1:1 con lo descargado</w:t>
            </w:r>
          </w:p>
        </w:tc>
      </w:tr>
    </w:tbl>
    <w:p/>
    <w:p>
      <w:pPr>
        <w:spacing w:before="0" w:after="120" w:line="276" w:lineRule="auto"/>
        <w:jc w:val="both"/>
      </w:pPr>
      <w:r>
        <w:rPr>
          <w:rFonts w:ascii="Arial" w:hAnsi="Arial" w:eastAsia="Arial"/>
          <w:b w:val="0"/>
          <w:sz w:val="22"/>
        </w:rPr>
        <w:t>10.1. La lectura correcta del Cuadro 6 es la siguiente: la evidencia muestra lo descargado por fuente; el hecho de negocio concentra el seguimiento de planillas enriquecido cuando corresponde. Un total “único” que sume los tres universos de evidencia no representa un inventario institucional consolidado.</w:t>
      </w:r>
    </w:p>
    <w:p>
      <w:pPr>
        <w:spacing w:before="0" w:after="120" w:line="276" w:lineRule="auto"/>
        <w:jc w:val="both"/>
      </w:pPr>
      <w:r>
        <w:rPr>
          <w:rFonts w:ascii="Arial" w:hAnsi="Arial" w:eastAsia="Arial"/>
          <w:b w:val="0"/>
          <w:sz w:val="22"/>
        </w:rPr>
        <w:t>11. Sustento de la actividad: Como sustento de la Actividad e) del presente informe, se han elaborado el Anexo E-1: “Controles de calidad y trazabilidad de multas coercitivas” y el Anexo E-2: “Evidencias de auditoría y volúmenes por universo” (carpeta), ubicados en “Actividad E” del adjunto “Anexos Informe 2”.</w:t>
      </w:r>
    </w:p>
    <w:p>
      <w:pPr>
        <w:spacing w:before="0" w:after="120" w:line="276" w:lineRule="auto"/>
        <w:jc w:val="both"/>
      </w:pPr>
      <w:r>
        <w:rPr>
          <w:rFonts w:ascii="Arial" w:hAnsi="Arial" w:eastAsia="Arial"/>
          <w:b/>
          <w:sz w:val="22"/>
        </w:rPr>
        <w:t>f) Procesar y analizar la información sistematizada en las multas coercitivas, mediante técnicas de análisis de datos que permitan evaluar la efectividad de las estrategias de promoción del cumplimiento e identificar avances, brechas y oportunidades de mejora para la gestión institucional del OEFA.</w:t>
      </w:r>
    </w:p>
    <w:p>
      <w:pPr>
        <w:spacing w:before="0" w:after="120" w:line="276" w:lineRule="auto"/>
        <w:jc w:val="both"/>
      </w:pPr>
      <w:r>
        <w:rPr>
          <w:rFonts w:ascii="Arial" w:hAnsi="Arial" w:eastAsia="Arial"/>
          <w:b w:val="0"/>
          <w:sz w:val="22"/>
        </w:rPr>
        <w:t>12. Procesamiento analítico: Se estructuró un modelo dimensional de multas coercitivas que permite cortar la información por fuente, unidad CSEP, oficina OD, administrado, estado, periodo y parámetro UIT, y medir volúmenes, montos y plazos del ciclo de la medida. El detalle de etapas complementa el seguimiento del flujo interno en CSEP (por ejemplo, atributos de responsabilidad y etapa del proyecto, cuando constan en planilla).</w:t>
      </w:r>
    </w:p>
    <w:p>
      <w:pPr>
        <w:spacing w:before="0" w:after="120" w:line="276" w:lineRule="auto"/>
        <w:jc w:val="left"/>
      </w:pPr>
      <w:r>
        <w:rPr>
          <w:rFonts w:ascii="Arial" w:hAnsi="Arial" w:eastAsia="Arial"/>
          <w:b/>
          <w:sz w:val="20"/>
        </w:rPr>
        <w:t>Cuadro 7. Preguntas de gestión que ya pueden responderse con el modelo.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E2F3"/>
          </w:tcPr>
          <w:p>
            <w:pPr>
              <w:spacing w:after="0" w:line="240" w:lineRule="auto"/>
            </w:pPr>
            <w:r>
              <w:rPr>
                <w:rFonts w:ascii="Arial" w:hAnsi="Arial" w:eastAsia="Arial"/>
                <w:b/>
                <w:sz w:val="18"/>
              </w:rPr>
              <w:t>Pregunta de gestión</w:t>
            </w:r>
          </w:p>
        </w:tc>
        <w:tc>
          <w:tcPr>
            <w:tcW w:w="3135" w:type="dxa"/>
            <w:shd w:val="clear" w:color="auto" w:fill="D9E2F3"/>
          </w:tcPr>
          <w:p>
            <w:pPr>
              <w:spacing w:after="0" w:line="240" w:lineRule="auto"/>
            </w:pPr>
            <w:r>
              <w:rPr>
                <w:rFonts w:ascii="Arial" w:hAnsi="Arial" w:eastAsia="Arial"/>
                <w:b/>
                <w:sz w:val="18"/>
              </w:rPr>
              <w:t>Corte principal</w:t>
            </w:r>
          </w:p>
        </w:tc>
        <w:tc>
          <w:tcPr>
            <w:tcW w:w="3135" w:type="dxa"/>
            <w:shd w:val="clear" w:color="auto" w:fill="D9E2F3"/>
          </w:tcPr>
          <w:p>
            <w:pPr>
              <w:spacing w:after="0" w:line="240" w:lineRule="auto"/>
            </w:pPr>
            <w:r>
              <w:rPr>
                <w:rFonts w:ascii="Arial" w:hAnsi="Arial" w:eastAsia="Arial"/>
                <w:b/>
                <w:sz w:val="18"/>
              </w:rPr>
              <w:t>Medida / resultado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¿Cuántas multas hay en seguimiento CSEP / OD?</w:t>
            </w:r>
          </w:p>
        </w:tc>
        <w:tc>
          <w:tcPr>
            <w:tcW w:w="3135" w:type="dxa"/>
          </w:tcPr>
          <w:p>
            <w:pPr>
              <w:spacing w:after="0" w:line="240" w:lineRule="auto"/>
            </w:pPr>
            <w:r>
              <w:rPr>
                <w:rFonts w:ascii="Arial" w:hAnsi="Arial" w:eastAsia="Arial"/>
                <w:b w:val="0"/>
                <w:sz w:val="18"/>
              </w:rPr>
              <w:t>Universo / territorio</w:t>
            </w:r>
          </w:p>
        </w:tc>
        <w:tc>
          <w:tcPr>
            <w:tcW w:w="3135" w:type="dxa"/>
          </w:tcPr>
          <w:p>
            <w:pPr>
              <w:spacing w:after="0" w:line="240" w:lineRule="auto"/>
            </w:pPr>
            <w:r>
              <w:rPr>
                <w:rFonts w:ascii="Arial" w:hAnsi="Arial" w:eastAsia="Arial"/>
                <w:b w:val="0"/>
                <w:sz w:val="18"/>
              </w:rPr>
              <w:t>Conteo de multas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¿Quién es el jefe / UF / en qué etapa está el proyecto?</w:t>
            </w:r>
          </w:p>
        </w:tc>
        <w:tc>
          <w:tcPr>
            <w:tcW w:w="3135" w:type="dxa"/>
          </w:tcPr>
          <w:p>
            <w:pPr>
              <w:spacing w:after="0" w:line="240" w:lineRule="auto"/>
            </w:pPr>
            <w:r>
              <w:rPr>
                <w:rFonts w:ascii="Arial" w:hAnsi="Arial" w:eastAsia="Arial"/>
                <w:b w:val="0"/>
                <w:sz w:val="18"/>
              </w:rPr>
              <w:t>Atributos de planilla CSEP</w:t>
            </w:r>
          </w:p>
        </w:tc>
        <w:tc>
          <w:tcPr>
            <w:tcW w:w="3135" w:type="dxa"/>
          </w:tcPr>
          <w:p>
            <w:pPr>
              <w:spacing w:after="0" w:line="240" w:lineRule="auto"/>
            </w:pPr>
            <w:r>
              <w:rPr>
                <w:rFonts w:ascii="Arial" w:hAnsi="Arial" w:eastAsia="Arial"/>
                <w:b w:val="0"/>
                <w:sz w:val="18"/>
              </w:rPr>
              <w:t>Seguimiento operativo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¿Cuál es el monto (UIT / S/) y el estado de pago?</w:t>
            </w:r>
          </w:p>
        </w:tc>
        <w:tc>
          <w:tcPr>
            <w:tcW w:w="3135" w:type="dxa"/>
          </w:tcPr>
          <w:p>
            <w:pPr>
              <w:spacing w:after="0" w:line="240" w:lineRule="auto"/>
            </w:pPr>
            <w:r>
              <w:rPr>
                <w:rFonts w:ascii="Arial" w:hAnsi="Arial" w:eastAsia="Arial"/>
                <w:b w:val="0"/>
                <w:sz w:val="18"/>
              </w:rPr>
              <w:t>Estado / periodo</w:t>
            </w:r>
          </w:p>
        </w:tc>
        <w:tc>
          <w:tcPr>
            <w:tcW w:w="3135" w:type="dxa"/>
          </w:tcPr>
          <w:p>
            <w:pPr>
              <w:spacing w:after="0" w:line="240" w:lineRule="auto"/>
            </w:pPr>
            <w:r>
              <w:rPr>
                <w:rFonts w:ascii="Arial" w:hAnsi="Arial" w:eastAsia="Arial"/>
                <w:b w:val="0"/>
                <w:sz w:val="18"/>
              </w:rPr>
              <w:t>Montos y flags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pPr>
            <w:r>
              <w:rPr>
                <w:rFonts w:ascii="Arial" w:hAnsi="Arial" w:eastAsia="Arial"/>
                <w:b w:val="0"/>
                <w:sz w:val="18"/>
              </w:rPr>
              <w:t>¿Cómo avanza el ciclo notificación → firma → vencimiento?</w:t>
            </w:r>
          </w:p>
        </w:tc>
        <w:tc>
          <w:tcPr>
            <w:tcW w:w="3135" w:type="dxa"/>
          </w:tcPr>
          <w:p>
            <w:pPr>
              <w:spacing w:after="0" w:line="240" w:lineRule="auto"/>
            </w:pPr>
            <w:r>
              <w:rPr>
                <w:rFonts w:ascii="Arial" w:hAnsi="Arial" w:eastAsia="Arial"/>
                <w:b w:val="0"/>
                <w:sz w:val="18"/>
              </w:rPr>
              <w:t>Fechas del ciclo</w:t>
            </w:r>
          </w:p>
        </w:tc>
        <w:tc>
          <w:tcPr>
            <w:tcW w:w="3135" w:type="dxa"/>
          </w:tcPr>
          <w:p>
            <w:pPr>
              <w:spacing w:after="0" w:line="240" w:lineRule="auto"/>
            </w:pPr>
            <w:r>
              <w:rPr>
                <w:rFonts w:ascii="Arial" w:hAnsi="Arial" w:eastAsia="Arial"/>
                <w:b w:val="0"/>
                <w:sz w:val="18"/>
              </w:rPr>
              <w:t>Plazos en días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pPr>
            <w:r>
              <w:rPr>
                <w:rFonts w:ascii="Arial" w:hAnsi="Arial" w:eastAsia="Arial"/>
                <w:b w:val="0"/>
                <w:sz w:val="18"/>
              </w:rPr>
              <w:t>¿Hay correspondencia con el núcleo institucional?</w:t>
            </w:r>
          </w:p>
        </w:tc>
        <w:tc>
          <w:tcPr>
            <w:tcW w:w="3135" w:type="dxa"/>
          </w:tcPr>
          <w:p>
            <w:pPr>
              <w:spacing w:after="0" w:line="240" w:lineRule="auto"/>
            </w:pPr>
            <w:r>
              <w:rPr>
                <w:rFonts w:ascii="Arial" w:hAnsi="Arial" w:eastAsia="Arial"/>
                <w:b w:val="0"/>
                <w:sz w:val="18"/>
              </w:rPr>
              <w:t>Resolución + monto</w:t>
            </w:r>
          </w:p>
        </w:tc>
        <w:tc>
          <w:tcPr>
            <w:tcW w:w="3135" w:type="dxa"/>
          </w:tcPr>
          <w:p>
            <w:pPr>
              <w:spacing w:after="0" w:line="240" w:lineRule="auto"/>
            </w:pPr>
            <w:r>
              <w:rPr>
                <w:rFonts w:ascii="Arial" w:hAnsi="Arial" w:eastAsia="Arial"/>
                <w:b w:val="0"/>
                <w:sz w:val="18"/>
              </w:rPr>
              <w:t>CUM/CAM enriquecidos</w:t>
            </w:r>
          </w:p>
        </w:tc>
      </w:tr>
    </w:tbl>
    <w:p/>
    <w:p>
      <w:pPr>
        <w:spacing w:before="0" w:after="120" w:line="276" w:lineRule="auto"/>
        <w:jc w:val="both"/>
      </w:pPr>
      <w:r>
        <w:rPr>
          <w:rFonts w:ascii="Arial" w:hAnsi="Arial" w:eastAsia="Arial"/>
          <w:b w:val="0"/>
          <w:sz w:val="22"/>
        </w:rPr>
        <w:t>12.1. El procesamiento no sustituye el juicio de gestión de la CSEP; aporta una base ordenada, comparable y trazable para que dicho juicio se ejerza sobre cifras defendibles. En esa línea, el Segundo Entregable deja lista la materia prima analítica que el Tercer Entregable traducirá en cuadros, gráficos y hallazgos formales.</w:t>
      </w:r>
    </w:p>
    <w:p>
      <w:pPr>
        <w:spacing w:before="0" w:after="120" w:line="276" w:lineRule="auto"/>
        <w:jc w:val="both"/>
      </w:pPr>
      <w:r>
        <w:rPr>
          <w:rFonts w:ascii="Arial" w:hAnsi="Arial" w:eastAsia="Arial"/>
          <w:b w:val="0"/>
          <w:sz w:val="22"/>
        </w:rPr>
        <w:t>13. Lectura de avances y brechas (insumo para efectividad): Sin pretender aún el entregable de cuadros estadísticos finales (actividad g del Tercer Entregable), el procesamiento actual ya permite identificar:</w:t>
      </w:r>
    </w:p>
    <w:p>
      <w:pPr>
        <w:spacing w:before="0" w:after="120" w:line="276" w:lineRule="auto"/>
        <w:jc w:val="both"/>
      </w:pPr>
      <w:r>
        <w:rPr>
          <w:rFonts w:ascii="Arial" w:hAnsi="Arial" w:eastAsia="Arial"/>
          <w:b w:val="0"/>
          <w:sz w:val="22"/>
        </w:rPr>
        <w:t>• Avance: cobertura ampliada de las 31 planillas OD y de las 10 planillas CSEP respecto del piloto del Primer Entregable; montos de planilla disponibles para análisis; enriquecimiento selectivo con CUM/CAM cuando existe correspondencia; existencia de una capa de auditoría para contrastes.</w:t>
      </w:r>
    </w:p>
    <w:p>
      <w:pPr>
        <w:spacing w:before="0" w:after="120" w:line="276" w:lineRule="auto"/>
        <w:jc w:val="both"/>
      </w:pPr>
      <w:r>
        <w:rPr>
          <w:rFonts w:ascii="Arial" w:hAnsi="Arial" w:eastAsia="Arial"/>
          <w:b w:val="0"/>
          <w:sz w:val="22"/>
        </w:rPr>
        <w:t>• Brechas: no toda fila de planilla encuentra pareja en el núcleo institucional; los universos no son equivalentes entre sí; parte de los registros requiere atención por hallazgos de calidad marcados; la actualización de planillas fuente condiciona la frescura de los totales.</w:t>
      </w:r>
    </w:p>
    <w:p>
      <w:pPr>
        <w:spacing w:before="0" w:after="120" w:line="276" w:lineRule="auto"/>
        <w:jc w:val="both"/>
      </w:pPr>
      <w:r>
        <w:rPr>
          <w:rFonts w:ascii="Arial" w:hAnsi="Arial" w:eastAsia="Arial"/>
          <w:b w:val="0"/>
          <w:sz w:val="22"/>
        </w:rPr>
        <w:t>• Oportunidad de mejora: consolidar el uso del hecho de negocio para seguimiento CSEP/OD; reservar la evidencia SISUD para contraste institucional; sostener la capa de auditoría para revisiones puntuales; y priorizar la limpieza de observaciones recurrentes en origen cuando afecten indicadores de gestión.</w:t>
      </w:r>
    </w:p>
    <w:p>
      <w:pPr>
        <w:spacing w:before="0" w:after="120" w:line="276" w:lineRule="auto"/>
        <w:jc w:val="both"/>
      </w:pPr>
      <w:r>
        <w:rPr>
          <w:rFonts w:ascii="Arial" w:hAnsi="Arial" w:eastAsia="Arial"/>
          <w:b w:val="0"/>
          <w:sz w:val="22"/>
        </w:rPr>
        <w:t>14. Criterio de análisis recomendado: Para evaluar efectividad de estrategias asociadas a multas coercitivas, se recomienda: (i) definir la pregunta de gestión; (ii) elegir el universo correcto (CSEP, OD o hecho de negocio); (iii) acotar territorio y periodo; (iv) medir volúmenes, montos y plazos; y (v) contrastar, de ser necesario, con la evidencia SISUD o con la foto de auditoría. Mezclar universos en un solo total distorsiona el diagnóstico y debilita la trazabilidad del resultado.</w:t>
      </w:r>
    </w:p>
    <w:p>
      <w:pPr>
        <w:spacing w:before="0" w:after="120" w:line="276" w:lineRule="auto"/>
        <w:jc w:val="both"/>
      </w:pPr>
      <w:r>
        <w:rPr>
          <w:rFonts w:ascii="Arial" w:hAnsi="Arial" w:eastAsia="Arial"/>
          <w:b w:val="0"/>
          <w:sz w:val="22"/>
        </w:rPr>
        <w:t>14.1. En términos prácticos, una consulta típica de seguimiento CSEP partirá del hecho de negocio o de la evidencia CSEP, cortará por unidad y periodo, y —si se requiere el código institucional— verificará la presencia de CUM/CAM enriquecidos. Una consulta de contraste con el núcleo partirá de la evidencia SISUD. Ambas rutas quedan documentadas en los anexos del presente entregable.</w:t>
      </w:r>
    </w:p>
    <w:p/>
    <w:p>
      <w:pPr>
        <w:spacing w:before="0" w:after="120" w:line="276" w:lineRule="auto"/>
        <w:jc w:val="both"/>
      </w:pPr>
      <w:r>
        <w:rPr>
          <w:rFonts w:ascii="Arial" w:hAnsi="Arial" w:eastAsia="Arial"/>
          <w:b w:val="0"/>
          <w:sz w:val="22"/>
        </w:rPr>
        <w:t>15. Sustento de la actividad: Como sustento de la Actividad f) del presente informe, se ha elaborado el Anexo F-1: “Procesamiento analítico del modelo de multas coercitivas”, ubicado en la carpeta “Actividad F” del adjunto “Anexos Informe 2”.</w:t>
      </w:r>
    </w:p>
    <w:p>
      <w:pPr>
        <w:spacing w:before="0" w:after="120" w:line="276" w:lineRule="auto"/>
        <w:jc w:val="both"/>
      </w:pPr>
      <w:r>
        <w:rPr>
          <w:rFonts w:ascii="Arial" w:hAnsi="Arial" w:eastAsia="Arial"/>
          <w:b w:val="0"/>
          <w:sz w:val="22"/>
        </w:rPr>
        <w:t>16. En ese sentido, se ha dado cumplimiento a las actividades d), e) y f) correspondientes al Segundo Entregable de la Orden de Servicio N° 02772-2026-S, conforme a lo establecido en los términos de referencia.</w:t>
      </w:r>
    </w:p>
    <w:p>
      <w:pPr>
        <w:spacing w:before="240" w:after="120"/>
      </w:pPr>
      <w:r>
        <w:rPr>
          <w:rFonts w:ascii="Arial" w:hAnsi="Arial"/>
          <w:b/>
          <w:sz w:val="24"/>
        </w:rPr>
        <w:t>21. Ampliación del alcance de fuentes: 31 OD y 10 unidades CSEP</w:t>
      </w:r>
    </w:p>
    <w:p>
      <w:pPr>
        <w:spacing w:after="120"/>
        <w:ind w:firstLine="425"/>
        <w:jc w:val="both"/>
      </w:pPr>
      <w:r>
        <w:rPr>
          <w:rFonts w:ascii="Arial" w:hAnsi="Arial"/>
          <w:b w:val="0"/>
          <w:sz w:val="22"/>
        </w:rPr>
        <w:t>Para evitar ambigüedad en la lectura del Segundo Entregable, se precisa que la descarga operativa de planillas no se limita a las 10 unidades CSEP. El universo F1 comprende exactamente treinta y una (31) oficinas desconcentradas, cada una con su Google Sheet activo, y el universo F2 comprende diez (10) unidades CSEP con planillas de multas y etapas. Ambos catálogos están definidos en los manifiestos institucionales del proyecto (f1_ods_sheets.json y f2_csep_sheets.json) y alimentan, respectivamente, las tablas de evidencia MI_FACT_MC_OD y MI_FACT_MC_CSEP.</w:t>
      </w:r>
    </w:p>
    <w:p>
      <w:pPr>
        <w:spacing w:after="120"/>
        <w:ind w:firstLine="425"/>
        <w:jc w:val="both"/>
      </w:pPr>
      <w:r>
        <w:rPr>
          <w:rFonts w:ascii="Arial" w:hAnsi="Arial"/>
          <w:b w:val="0"/>
          <w:sz w:val="22"/>
        </w:rPr>
        <w:t>El Cuadro 1 ya identifica F1 = 31 Google Sheets y F2 = 10 Google Sheets. A continuación se detalla el listado nominal, a fin de que el lector pueda contrastar la cobertura territorial y sectorial sin recurrir únicamente a la cifra agregada.</w:t>
      </w:r>
    </w:p>
    <w:p>
      <w:pPr>
        <w:spacing w:before="240" w:after="120"/>
      </w:pPr>
      <w:r>
        <w:rPr>
          <w:rFonts w:ascii="Arial" w:hAnsi="Arial"/>
          <w:b/>
          <w:sz w:val="24"/>
        </w:rPr>
        <w:t>Cuadro 8. Las 31 oficinas desconcentradas (F1 — OD) descargadas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N.°</w:t>
            </w:r>
          </w:p>
        </w:tc>
        <w:tc>
          <w:tcPr>
            <w:tcW w:w="2880" w:type="dxa"/>
          </w:tcPr>
          <w:p>
            <w:pPr>
              <w:spacing w:after="0" w:line="240" w:lineRule="auto"/>
            </w:pPr>
            <w:r>
              <w:rPr>
                <w:rFonts w:ascii="Arial" w:hAnsi="Arial"/>
                <w:b/>
                <w:sz w:val="20"/>
              </w:rPr>
              <w:t>Código OD</w:t>
            </w:r>
          </w:p>
        </w:tc>
        <w:tc>
          <w:tcPr>
            <w:tcW w:w="2880" w:type="dxa"/>
          </w:tcPr>
          <w:p>
            <w:pPr>
              <w:spacing w:after="0" w:line="240" w:lineRule="auto"/>
            </w:pPr>
            <w:r>
              <w:rPr>
                <w:rFonts w:ascii="Arial" w:hAnsi="Arial"/>
                <w:b/>
                <w:sz w:val="20"/>
              </w:rPr>
              <w:t>Nombre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w:t>
            </w:r>
          </w:p>
        </w:tc>
        <w:tc>
          <w:tcPr>
            <w:tcW w:w="2880" w:type="dxa"/>
          </w:tcPr>
          <w:p>
            <w:pPr>
              <w:spacing w:after="0" w:line="240" w:lineRule="auto"/>
            </w:pPr>
            <w:r>
              <w:rPr>
                <w:rFonts w:ascii="Arial" w:hAnsi="Arial"/>
                <w:b w:val="0"/>
                <w:sz w:val="18"/>
              </w:rPr>
              <w:t>AMAZONAS</w:t>
            </w:r>
          </w:p>
        </w:tc>
        <w:tc>
          <w:tcPr>
            <w:tcW w:w="2880" w:type="dxa"/>
          </w:tcPr>
          <w:p>
            <w:pPr>
              <w:spacing w:after="0" w:line="240" w:lineRule="auto"/>
            </w:pPr>
            <w:r>
              <w:rPr>
                <w:rFonts w:ascii="Arial" w:hAnsi="Arial"/>
                <w:b w:val="0"/>
                <w:sz w:val="18"/>
              </w:rPr>
              <w:t>Amazonas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w:t>
            </w:r>
          </w:p>
        </w:tc>
        <w:tc>
          <w:tcPr>
            <w:tcW w:w="2880" w:type="dxa"/>
          </w:tcPr>
          <w:p>
            <w:pPr>
              <w:spacing w:after="0" w:line="240" w:lineRule="auto"/>
            </w:pPr>
            <w:r>
              <w:rPr>
                <w:rFonts w:ascii="Arial" w:hAnsi="Arial"/>
                <w:b w:val="0"/>
                <w:sz w:val="18"/>
              </w:rPr>
              <w:t>ANCASH</w:t>
            </w:r>
          </w:p>
        </w:tc>
        <w:tc>
          <w:tcPr>
            <w:tcW w:w="2880" w:type="dxa"/>
          </w:tcPr>
          <w:p>
            <w:pPr>
              <w:spacing w:after="0" w:line="240" w:lineRule="auto"/>
            </w:pPr>
            <w:r>
              <w:rPr>
                <w:rFonts w:ascii="Arial" w:hAnsi="Arial"/>
                <w:b w:val="0"/>
                <w:sz w:val="18"/>
              </w:rPr>
              <w:t>Ancash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3</w:t>
            </w:r>
          </w:p>
        </w:tc>
        <w:tc>
          <w:tcPr>
            <w:tcW w:w="2880" w:type="dxa"/>
          </w:tcPr>
          <w:p>
            <w:pPr>
              <w:spacing w:after="0" w:line="240" w:lineRule="auto"/>
            </w:pPr>
            <w:r>
              <w:rPr>
                <w:rFonts w:ascii="Arial" w:hAnsi="Arial"/>
                <w:b w:val="0"/>
                <w:sz w:val="18"/>
              </w:rPr>
              <w:t>APURIMAC</w:t>
            </w:r>
          </w:p>
        </w:tc>
        <w:tc>
          <w:tcPr>
            <w:tcW w:w="2880" w:type="dxa"/>
          </w:tcPr>
          <w:p>
            <w:pPr>
              <w:spacing w:after="0" w:line="240" w:lineRule="auto"/>
            </w:pPr>
            <w:r>
              <w:rPr>
                <w:rFonts w:ascii="Arial" w:hAnsi="Arial"/>
                <w:b w:val="0"/>
                <w:sz w:val="18"/>
              </w:rPr>
              <w:t>Apurímac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4</w:t>
            </w:r>
          </w:p>
        </w:tc>
        <w:tc>
          <w:tcPr>
            <w:tcW w:w="2880" w:type="dxa"/>
          </w:tcPr>
          <w:p>
            <w:pPr>
              <w:spacing w:after="0" w:line="240" w:lineRule="auto"/>
            </w:pPr>
            <w:r>
              <w:rPr>
                <w:rFonts w:ascii="Arial" w:hAnsi="Arial"/>
                <w:b w:val="0"/>
                <w:sz w:val="18"/>
              </w:rPr>
              <w:t>AREQUIPA</w:t>
            </w:r>
          </w:p>
        </w:tc>
        <w:tc>
          <w:tcPr>
            <w:tcW w:w="2880" w:type="dxa"/>
          </w:tcPr>
          <w:p>
            <w:pPr>
              <w:spacing w:after="0" w:line="240" w:lineRule="auto"/>
            </w:pPr>
            <w:r>
              <w:rPr>
                <w:rFonts w:ascii="Arial" w:hAnsi="Arial"/>
                <w:b w:val="0"/>
                <w:sz w:val="18"/>
              </w:rPr>
              <w:t>Arequipa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5</w:t>
            </w:r>
          </w:p>
        </w:tc>
        <w:tc>
          <w:tcPr>
            <w:tcW w:w="2880" w:type="dxa"/>
          </w:tcPr>
          <w:p>
            <w:pPr>
              <w:spacing w:after="0" w:line="240" w:lineRule="auto"/>
            </w:pPr>
            <w:r>
              <w:rPr>
                <w:rFonts w:ascii="Arial" w:hAnsi="Arial"/>
                <w:b w:val="0"/>
                <w:sz w:val="18"/>
              </w:rPr>
              <w:t>AYACUCHO</w:t>
            </w:r>
          </w:p>
        </w:tc>
        <w:tc>
          <w:tcPr>
            <w:tcW w:w="2880" w:type="dxa"/>
          </w:tcPr>
          <w:p>
            <w:pPr>
              <w:spacing w:after="0" w:line="240" w:lineRule="auto"/>
            </w:pPr>
            <w:r>
              <w:rPr>
                <w:rFonts w:ascii="Arial" w:hAnsi="Arial"/>
                <w:b w:val="0"/>
                <w:sz w:val="18"/>
              </w:rPr>
              <w:t>Ayacucho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6</w:t>
            </w:r>
          </w:p>
        </w:tc>
        <w:tc>
          <w:tcPr>
            <w:tcW w:w="2880" w:type="dxa"/>
          </w:tcPr>
          <w:p>
            <w:pPr>
              <w:spacing w:after="0" w:line="240" w:lineRule="auto"/>
            </w:pPr>
            <w:r>
              <w:rPr>
                <w:rFonts w:ascii="Arial" w:hAnsi="Arial"/>
                <w:b w:val="0"/>
                <w:sz w:val="18"/>
              </w:rPr>
              <w:t>CAJAMARCA</w:t>
            </w:r>
          </w:p>
        </w:tc>
        <w:tc>
          <w:tcPr>
            <w:tcW w:w="2880" w:type="dxa"/>
          </w:tcPr>
          <w:p>
            <w:pPr>
              <w:spacing w:after="0" w:line="240" w:lineRule="auto"/>
            </w:pPr>
            <w:r>
              <w:rPr>
                <w:rFonts w:ascii="Arial" w:hAnsi="Arial"/>
                <w:b w:val="0"/>
                <w:sz w:val="18"/>
              </w:rPr>
              <w:t>Cajamarca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7</w:t>
            </w:r>
          </w:p>
        </w:tc>
        <w:tc>
          <w:tcPr>
            <w:tcW w:w="2880" w:type="dxa"/>
          </w:tcPr>
          <w:p>
            <w:pPr>
              <w:spacing w:after="0" w:line="240" w:lineRule="auto"/>
            </w:pPr>
            <w:r>
              <w:rPr>
                <w:rFonts w:ascii="Arial" w:hAnsi="Arial"/>
                <w:b w:val="0"/>
                <w:sz w:val="18"/>
              </w:rPr>
              <w:t>CHIMBOTE</w:t>
            </w:r>
          </w:p>
        </w:tc>
        <w:tc>
          <w:tcPr>
            <w:tcW w:w="2880" w:type="dxa"/>
          </w:tcPr>
          <w:p>
            <w:pPr>
              <w:spacing w:after="0" w:line="240" w:lineRule="auto"/>
            </w:pPr>
            <w:r>
              <w:rPr>
                <w:rFonts w:ascii="Arial" w:hAnsi="Arial"/>
                <w:b w:val="0"/>
                <w:sz w:val="18"/>
              </w:rPr>
              <w:t>Chimbote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8</w:t>
            </w:r>
          </w:p>
        </w:tc>
        <w:tc>
          <w:tcPr>
            <w:tcW w:w="2880" w:type="dxa"/>
          </w:tcPr>
          <w:p>
            <w:pPr>
              <w:spacing w:after="0" w:line="240" w:lineRule="auto"/>
            </w:pPr>
            <w:r>
              <w:rPr>
                <w:rFonts w:ascii="Arial" w:hAnsi="Arial"/>
                <w:b w:val="0"/>
                <w:sz w:val="18"/>
              </w:rPr>
              <w:t>CORACORA</w:t>
            </w:r>
          </w:p>
        </w:tc>
        <w:tc>
          <w:tcPr>
            <w:tcW w:w="2880" w:type="dxa"/>
          </w:tcPr>
          <w:p>
            <w:pPr>
              <w:spacing w:after="0" w:line="240" w:lineRule="auto"/>
            </w:pPr>
            <w:r>
              <w:rPr>
                <w:rFonts w:ascii="Arial" w:hAnsi="Arial"/>
                <w:b w:val="0"/>
                <w:sz w:val="18"/>
              </w:rPr>
              <w:t>Coracora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9</w:t>
            </w:r>
          </w:p>
        </w:tc>
        <w:tc>
          <w:tcPr>
            <w:tcW w:w="2880" w:type="dxa"/>
          </w:tcPr>
          <w:p>
            <w:pPr>
              <w:spacing w:after="0" w:line="240" w:lineRule="auto"/>
            </w:pPr>
            <w:r>
              <w:rPr>
                <w:rFonts w:ascii="Arial" w:hAnsi="Arial"/>
                <w:b w:val="0"/>
                <w:sz w:val="18"/>
              </w:rPr>
              <w:t>COTABAMBAS</w:t>
            </w:r>
          </w:p>
        </w:tc>
        <w:tc>
          <w:tcPr>
            <w:tcW w:w="2880" w:type="dxa"/>
          </w:tcPr>
          <w:p>
            <w:pPr>
              <w:spacing w:after="0" w:line="240" w:lineRule="auto"/>
            </w:pPr>
            <w:r>
              <w:rPr>
                <w:rFonts w:ascii="Arial" w:hAnsi="Arial"/>
                <w:b w:val="0"/>
                <w:sz w:val="18"/>
              </w:rPr>
              <w:t>Cotabambas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10</w:t>
            </w:r>
          </w:p>
        </w:tc>
        <w:tc>
          <w:tcPr>
            <w:tcW w:w="2880" w:type="dxa"/>
          </w:tcPr>
          <w:p>
            <w:pPr>
              <w:spacing w:after="0" w:line="240" w:lineRule="auto"/>
            </w:pPr>
            <w:r>
              <w:rPr>
                <w:rFonts w:ascii="Arial" w:hAnsi="Arial"/>
                <w:b w:val="0"/>
                <w:sz w:val="18"/>
              </w:rPr>
              <w:t>CUSCO</w:t>
            </w:r>
          </w:p>
        </w:tc>
        <w:tc>
          <w:tcPr>
            <w:tcW w:w="2880" w:type="dxa"/>
          </w:tcPr>
          <w:p>
            <w:pPr>
              <w:spacing w:after="0" w:line="240" w:lineRule="auto"/>
            </w:pPr>
            <w:r>
              <w:rPr>
                <w:rFonts w:ascii="Arial" w:hAnsi="Arial"/>
                <w:b w:val="0"/>
                <w:sz w:val="18"/>
              </w:rPr>
              <w:t>Cusco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11</w:t>
            </w:r>
          </w:p>
        </w:tc>
        <w:tc>
          <w:tcPr>
            <w:tcW w:w="2880" w:type="dxa"/>
          </w:tcPr>
          <w:p>
            <w:pPr>
              <w:spacing w:after="0" w:line="240" w:lineRule="auto"/>
            </w:pPr>
            <w:r>
              <w:rPr>
                <w:rFonts w:ascii="Arial" w:hAnsi="Arial"/>
                <w:b w:val="0"/>
                <w:sz w:val="18"/>
              </w:rPr>
              <w:t>ESPINAR</w:t>
            </w:r>
          </w:p>
        </w:tc>
        <w:tc>
          <w:tcPr>
            <w:tcW w:w="2880" w:type="dxa"/>
          </w:tcPr>
          <w:p>
            <w:pPr>
              <w:spacing w:after="0" w:line="240" w:lineRule="auto"/>
            </w:pPr>
            <w:r>
              <w:rPr>
                <w:rFonts w:ascii="Arial" w:hAnsi="Arial"/>
                <w:b w:val="0"/>
                <w:sz w:val="18"/>
              </w:rPr>
              <w:t>Espinar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12</w:t>
            </w:r>
          </w:p>
        </w:tc>
        <w:tc>
          <w:tcPr>
            <w:tcW w:w="2880" w:type="dxa"/>
          </w:tcPr>
          <w:p>
            <w:pPr>
              <w:spacing w:after="0" w:line="240" w:lineRule="auto"/>
            </w:pPr>
            <w:r>
              <w:rPr>
                <w:rFonts w:ascii="Arial" w:hAnsi="Arial"/>
                <w:b w:val="0"/>
                <w:sz w:val="18"/>
              </w:rPr>
              <w:t>HUANCAVELICA</w:t>
            </w:r>
          </w:p>
        </w:tc>
        <w:tc>
          <w:tcPr>
            <w:tcW w:w="2880" w:type="dxa"/>
          </w:tcPr>
          <w:p>
            <w:pPr>
              <w:spacing w:after="0" w:line="240" w:lineRule="auto"/>
            </w:pPr>
            <w:r>
              <w:rPr>
                <w:rFonts w:ascii="Arial" w:hAnsi="Arial"/>
                <w:b w:val="0"/>
                <w:sz w:val="18"/>
              </w:rPr>
              <w:t>Huancavelica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13</w:t>
            </w:r>
          </w:p>
        </w:tc>
        <w:tc>
          <w:tcPr>
            <w:tcW w:w="2880" w:type="dxa"/>
          </w:tcPr>
          <w:p>
            <w:pPr>
              <w:spacing w:after="0" w:line="240" w:lineRule="auto"/>
            </w:pPr>
            <w:r>
              <w:rPr>
                <w:rFonts w:ascii="Arial" w:hAnsi="Arial"/>
                <w:b w:val="0"/>
                <w:sz w:val="18"/>
              </w:rPr>
              <w:t>HUANUCO</w:t>
            </w:r>
          </w:p>
        </w:tc>
        <w:tc>
          <w:tcPr>
            <w:tcW w:w="2880" w:type="dxa"/>
          </w:tcPr>
          <w:p>
            <w:pPr>
              <w:spacing w:after="0" w:line="240" w:lineRule="auto"/>
            </w:pPr>
            <w:r>
              <w:rPr>
                <w:rFonts w:ascii="Arial" w:hAnsi="Arial"/>
                <w:b w:val="0"/>
                <w:sz w:val="18"/>
              </w:rPr>
              <w:t>Huánuco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14</w:t>
            </w:r>
          </w:p>
        </w:tc>
        <w:tc>
          <w:tcPr>
            <w:tcW w:w="2880" w:type="dxa"/>
          </w:tcPr>
          <w:p>
            <w:pPr>
              <w:spacing w:after="0" w:line="240" w:lineRule="auto"/>
            </w:pPr>
            <w:r>
              <w:rPr>
                <w:rFonts w:ascii="Arial" w:hAnsi="Arial"/>
                <w:b w:val="0"/>
                <w:sz w:val="18"/>
              </w:rPr>
              <w:t>ICA</w:t>
            </w:r>
          </w:p>
        </w:tc>
        <w:tc>
          <w:tcPr>
            <w:tcW w:w="2880" w:type="dxa"/>
          </w:tcPr>
          <w:p>
            <w:pPr>
              <w:spacing w:after="0" w:line="240" w:lineRule="auto"/>
            </w:pPr>
            <w:r>
              <w:rPr>
                <w:rFonts w:ascii="Arial" w:hAnsi="Arial"/>
                <w:b w:val="0"/>
                <w:sz w:val="18"/>
              </w:rPr>
              <w:t>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15</w:t>
            </w:r>
          </w:p>
        </w:tc>
        <w:tc>
          <w:tcPr>
            <w:tcW w:w="2880" w:type="dxa"/>
          </w:tcPr>
          <w:p>
            <w:pPr>
              <w:spacing w:after="0" w:line="240" w:lineRule="auto"/>
            </w:pPr>
            <w:r>
              <w:rPr>
                <w:rFonts w:ascii="Arial" w:hAnsi="Arial"/>
                <w:b w:val="0"/>
                <w:sz w:val="18"/>
              </w:rPr>
              <w:t>JUNIN</w:t>
            </w:r>
          </w:p>
        </w:tc>
        <w:tc>
          <w:tcPr>
            <w:tcW w:w="2880" w:type="dxa"/>
          </w:tcPr>
          <w:p>
            <w:pPr>
              <w:spacing w:after="0" w:line="240" w:lineRule="auto"/>
            </w:pPr>
            <w:r>
              <w:rPr>
                <w:rFonts w:ascii="Arial" w:hAnsi="Arial"/>
                <w:b w:val="0"/>
                <w:sz w:val="18"/>
              </w:rPr>
              <w:t>Junín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16</w:t>
            </w:r>
          </w:p>
        </w:tc>
        <w:tc>
          <w:tcPr>
            <w:tcW w:w="2880" w:type="dxa"/>
          </w:tcPr>
          <w:p>
            <w:pPr>
              <w:spacing w:after="0" w:line="240" w:lineRule="auto"/>
            </w:pPr>
            <w:r>
              <w:rPr>
                <w:rFonts w:ascii="Arial" w:hAnsi="Arial"/>
                <w:b w:val="0"/>
                <w:sz w:val="18"/>
              </w:rPr>
              <w:t>LAMBAYEQUE</w:t>
            </w:r>
          </w:p>
        </w:tc>
        <w:tc>
          <w:tcPr>
            <w:tcW w:w="2880" w:type="dxa"/>
          </w:tcPr>
          <w:p>
            <w:pPr>
              <w:spacing w:after="0" w:line="240" w:lineRule="auto"/>
            </w:pPr>
            <w:r>
              <w:rPr>
                <w:rFonts w:ascii="Arial" w:hAnsi="Arial"/>
                <w:b w:val="0"/>
                <w:sz w:val="18"/>
              </w:rPr>
              <w:t>Lambayeque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17</w:t>
            </w:r>
          </w:p>
        </w:tc>
        <w:tc>
          <w:tcPr>
            <w:tcW w:w="2880" w:type="dxa"/>
          </w:tcPr>
          <w:p>
            <w:pPr>
              <w:spacing w:after="0" w:line="240" w:lineRule="auto"/>
            </w:pPr>
            <w:r>
              <w:rPr>
                <w:rFonts w:ascii="Arial" w:hAnsi="Arial"/>
                <w:b w:val="0"/>
                <w:sz w:val="18"/>
              </w:rPr>
              <w:t>LA_CONVENCION</w:t>
            </w:r>
          </w:p>
        </w:tc>
        <w:tc>
          <w:tcPr>
            <w:tcW w:w="2880" w:type="dxa"/>
          </w:tcPr>
          <w:p>
            <w:pPr>
              <w:spacing w:after="0" w:line="240" w:lineRule="auto"/>
            </w:pPr>
            <w:r>
              <w:rPr>
                <w:rFonts w:ascii="Arial" w:hAnsi="Arial"/>
                <w:b w:val="0"/>
                <w:sz w:val="18"/>
              </w:rPr>
              <w:t>La Convención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18</w:t>
            </w:r>
          </w:p>
        </w:tc>
        <w:tc>
          <w:tcPr>
            <w:tcW w:w="2880" w:type="dxa"/>
          </w:tcPr>
          <w:p>
            <w:pPr>
              <w:spacing w:after="0" w:line="240" w:lineRule="auto"/>
            </w:pPr>
            <w:r>
              <w:rPr>
                <w:rFonts w:ascii="Arial" w:hAnsi="Arial"/>
                <w:b w:val="0"/>
                <w:sz w:val="18"/>
              </w:rPr>
              <w:t>LA_LIBERTAD</w:t>
            </w:r>
          </w:p>
        </w:tc>
        <w:tc>
          <w:tcPr>
            <w:tcW w:w="2880" w:type="dxa"/>
          </w:tcPr>
          <w:p>
            <w:pPr>
              <w:spacing w:after="0" w:line="240" w:lineRule="auto"/>
            </w:pPr>
            <w:r>
              <w:rPr>
                <w:rFonts w:ascii="Arial" w:hAnsi="Arial"/>
                <w:b w:val="0"/>
                <w:sz w:val="18"/>
              </w:rPr>
              <w:t>La Libertad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19</w:t>
            </w:r>
          </w:p>
        </w:tc>
        <w:tc>
          <w:tcPr>
            <w:tcW w:w="2880" w:type="dxa"/>
          </w:tcPr>
          <w:p>
            <w:pPr>
              <w:spacing w:after="0" w:line="240" w:lineRule="auto"/>
            </w:pPr>
            <w:r>
              <w:rPr>
                <w:rFonts w:ascii="Arial" w:hAnsi="Arial"/>
                <w:b w:val="0"/>
                <w:sz w:val="18"/>
              </w:rPr>
              <w:t>LORETO</w:t>
            </w:r>
          </w:p>
        </w:tc>
        <w:tc>
          <w:tcPr>
            <w:tcW w:w="2880" w:type="dxa"/>
          </w:tcPr>
          <w:p>
            <w:pPr>
              <w:spacing w:after="0" w:line="240" w:lineRule="auto"/>
            </w:pPr>
            <w:r>
              <w:rPr>
                <w:rFonts w:ascii="Arial" w:hAnsi="Arial"/>
                <w:b w:val="0"/>
                <w:sz w:val="18"/>
              </w:rPr>
              <w:t>Loreto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20</w:t>
            </w:r>
          </w:p>
        </w:tc>
        <w:tc>
          <w:tcPr>
            <w:tcW w:w="2880" w:type="dxa"/>
          </w:tcPr>
          <w:p>
            <w:pPr>
              <w:spacing w:after="0" w:line="240" w:lineRule="auto"/>
            </w:pPr>
            <w:r>
              <w:rPr>
                <w:rFonts w:ascii="Arial" w:hAnsi="Arial"/>
                <w:b w:val="0"/>
                <w:sz w:val="18"/>
              </w:rPr>
              <w:t>MADRE_DE_DIOS</w:t>
            </w:r>
          </w:p>
        </w:tc>
        <w:tc>
          <w:tcPr>
            <w:tcW w:w="2880" w:type="dxa"/>
          </w:tcPr>
          <w:p>
            <w:pPr>
              <w:spacing w:after="0" w:line="240" w:lineRule="auto"/>
            </w:pPr>
            <w:r>
              <w:rPr>
                <w:rFonts w:ascii="Arial" w:hAnsi="Arial"/>
                <w:b w:val="0"/>
                <w:sz w:val="18"/>
              </w:rPr>
              <w:t>Madre de Dios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21</w:t>
            </w:r>
          </w:p>
        </w:tc>
        <w:tc>
          <w:tcPr>
            <w:tcW w:w="2880" w:type="dxa"/>
          </w:tcPr>
          <w:p>
            <w:pPr>
              <w:spacing w:after="0" w:line="240" w:lineRule="auto"/>
            </w:pPr>
            <w:r>
              <w:rPr>
                <w:rFonts w:ascii="Arial" w:hAnsi="Arial"/>
                <w:b w:val="0"/>
                <w:sz w:val="18"/>
              </w:rPr>
              <w:t>MOQUEGUA</w:t>
            </w:r>
          </w:p>
        </w:tc>
        <w:tc>
          <w:tcPr>
            <w:tcW w:w="2880" w:type="dxa"/>
          </w:tcPr>
          <w:p>
            <w:pPr>
              <w:spacing w:after="0" w:line="240" w:lineRule="auto"/>
            </w:pPr>
            <w:r>
              <w:rPr>
                <w:rFonts w:ascii="Arial" w:hAnsi="Arial"/>
                <w:b w:val="0"/>
                <w:sz w:val="18"/>
              </w:rPr>
              <w:t>Moquegua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22</w:t>
            </w:r>
          </w:p>
        </w:tc>
        <w:tc>
          <w:tcPr>
            <w:tcW w:w="2880" w:type="dxa"/>
          </w:tcPr>
          <w:p>
            <w:pPr>
              <w:spacing w:after="0" w:line="240" w:lineRule="auto"/>
            </w:pPr>
            <w:r>
              <w:rPr>
                <w:rFonts w:ascii="Arial" w:hAnsi="Arial"/>
                <w:b w:val="0"/>
                <w:sz w:val="18"/>
              </w:rPr>
              <w:t>PASCO</w:t>
            </w:r>
          </w:p>
        </w:tc>
        <w:tc>
          <w:tcPr>
            <w:tcW w:w="2880" w:type="dxa"/>
          </w:tcPr>
          <w:p>
            <w:pPr>
              <w:spacing w:after="0" w:line="240" w:lineRule="auto"/>
            </w:pPr>
            <w:r>
              <w:rPr>
                <w:rFonts w:ascii="Arial" w:hAnsi="Arial"/>
                <w:b w:val="0"/>
                <w:sz w:val="18"/>
              </w:rPr>
              <w:t>Pasco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23</w:t>
            </w:r>
          </w:p>
        </w:tc>
        <w:tc>
          <w:tcPr>
            <w:tcW w:w="2880" w:type="dxa"/>
          </w:tcPr>
          <w:p>
            <w:pPr>
              <w:spacing w:after="0" w:line="240" w:lineRule="auto"/>
            </w:pPr>
            <w:r>
              <w:rPr>
                <w:rFonts w:ascii="Arial" w:hAnsi="Arial"/>
                <w:b w:val="0"/>
                <w:sz w:val="18"/>
              </w:rPr>
              <w:t>PICHANAKI</w:t>
            </w:r>
          </w:p>
        </w:tc>
        <w:tc>
          <w:tcPr>
            <w:tcW w:w="2880" w:type="dxa"/>
          </w:tcPr>
          <w:p>
            <w:pPr>
              <w:spacing w:after="0" w:line="240" w:lineRule="auto"/>
            </w:pPr>
            <w:r>
              <w:rPr>
                <w:rFonts w:ascii="Arial" w:hAnsi="Arial"/>
                <w:b w:val="0"/>
                <w:sz w:val="18"/>
              </w:rPr>
              <w:t>Pichanaki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24</w:t>
            </w:r>
          </w:p>
        </w:tc>
        <w:tc>
          <w:tcPr>
            <w:tcW w:w="2880" w:type="dxa"/>
          </w:tcPr>
          <w:p>
            <w:pPr>
              <w:spacing w:after="0" w:line="240" w:lineRule="auto"/>
            </w:pPr>
            <w:r>
              <w:rPr>
                <w:rFonts w:ascii="Arial" w:hAnsi="Arial"/>
                <w:b w:val="0"/>
                <w:sz w:val="18"/>
              </w:rPr>
              <w:t>PIURA</w:t>
            </w:r>
          </w:p>
        </w:tc>
        <w:tc>
          <w:tcPr>
            <w:tcW w:w="2880" w:type="dxa"/>
          </w:tcPr>
          <w:p>
            <w:pPr>
              <w:spacing w:after="0" w:line="240" w:lineRule="auto"/>
            </w:pPr>
            <w:r>
              <w:rPr>
                <w:rFonts w:ascii="Arial" w:hAnsi="Arial"/>
                <w:b w:val="0"/>
                <w:sz w:val="18"/>
              </w:rPr>
              <w:t>Piura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25</w:t>
            </w:r>
          </w:p>
        </w:tc>
        <w:tc>
          <w:tcPr>
            <w:tcW w:w="2880" w:type="dxa"/>
          </w:tcPr>
          <w:p>
            <w:pPr>
              <w:spacing w:after="0" w:line="240" w:lineRule="auto"/>
            </w:pPr>
            <w:r>
              <w:rPr>
                <w:rFonts w:ascii="Arial" w:hAnsi="Arial"/>
                <w:b w:val="0"/>
                <w:sz w:val="18"/>
              </w:rPr>
              <w:t>PUNO</w:t>
            </w:r>
          </w:p>
        </w:tc>
        <w:tc>
          <w:tcPr>
            <w:tcW w:w="2880" w:type="dxa"/>
          </w:tcPr>
          <w:p>
            <w:pPr>
              <w:spacing w:after="0" w:line="240" w:lineRule="auto"/>
            </w:pPr>
            <w:r>
              <w:rPr>
                <w:rFonts w:ascii="Arial" w:hAnsi="Arial"/>
                <w:b w:val="0"/>
                <w:sz w:val="18"/>
              </w:rPr>
              <w:t>Puno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26</w:t>
            </w:r>
          </w:p>
        </w:tc>
        <w:tc>
          <w:tcPr>
            <w:tcW w:w="2880" w:type="dxa"/>
          </w:tcPr>
          <w:p>
            <w:pPr>
              <w:spacing w:after="0" w:line="240" w:lineRule="auto"/>
            </w:pPr>
            <w:r>
              <w:rPr>
                <w:rFonts w:ascii="Arial" w:hAnsi="Arial"/>
                <w:b w:val="0"/>
                <w:sz w:val="18"/>
              </w:rPr>
              <w:t>SAN_MARTIN</w:t>
            </w:r>
          </w:p>
        </w:tc>
        <w:tc>
          <w:tcPr>
            <w:tcW w:w="2880" w:type="dxa"/>
          </w:tcPr>
          <w:p>
            <w:pPr>
              <w:spacing w:after="0" w:line="240" w:lineRule="auto"/>
            </w:pPr>
            <w:r>
              <w:rPr>
                <w:rFonts w:ascii="Arial" w:hAnsi="Arial"/>
                <w:b w:val="0"/>
                <w:sz w:val="18"/>
              </w:rPr>
              <w:t>San Martín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27</w:t>
            </w:r>
          </w:p>
        </w:tc>
        <w:tc>
          <w:tcPr>
            <w:tcW w:w="2880" w:type="dxa"/>
          </w:tcPr>
          <w:p>
            <w:pPr>
              <w:spacing w:after="0" w:line="240" w:lineRule="auto"/>
            </w:pPr>
            <w:r>
              <w:rPr>
                <w:rFonts w:ascii="Arial" w:hAnsi="Arial"/>
                <w:b w:val="0"/>
                <w:sz w:val="18"/>
              </w:rPr>
              <w:t>TACNA</w:t>
            </w:r>
          </w:p>
        </w:tc>
        <w:tc>
          <w:tcPr>
            <w:tcW w:w="2880" w:type="dxa"/>
          </w:tcPr>
          <w:p>
            <w:pPr>
              <w:spacing w:after="0" w:line="240" w:lineRule="auto"/>
            </w:pPr>
            <w:r>
              <w:rPr>
                <w:rFonts w:ascii="Arial" w:hAnsi="Arial"/>
                <w:b w:val="0"/>
                <w:sz w:val="18"/>
              </w:rPr>
              <w:t>Tacna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28</w:t>
            </w:r>
          </w:p>
        </w:tc>
        <w:tc>
          <w:tcPr>
            <w:tcW w:w="2880" w:type="dxa"/>
          </w:tcPr>
          <w:p>
            <w:pPr>
              <w:spacing w:after="0" w:line="240" w:lineRule="auto"/>
            </w:pPr>
            <w:r>
              <w:rPr>
                <w:rFonts w:ascii="Arial" w:hAnsi="Arial"/>
                <w:b w:val="0"/>
                <w:sz w:val="18"/>
              </w:rPr>
              <w:t>TALARA</w:t>
            </w:r>
          </w:p>
        </w:tc>
        <w:tc>
          <w:tcPr>
            <w:tcW w:w="2880" w:type="dxa"/>
          </w:tcPr>
          <w:p>
            <w:pPr>
              <w:spacing w:after="0" w:line="240" w:lineRule="auto"/>
            </w:pPr>
            <w:r>
              <w:rPr>
                <w:rFonts w:ascii="Arial" w:hAnsi="Arial"/>
                <w:b w:val="0"/>
                <w:sz w:val="18"/>
              </w:rPr>
              <w:t>Talara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29</w:t>
            </w:r>
          </w:p>
        </w:tc>
        <w:tc>
          <w:tcPr>
            <w:tcW w:w="2880" w:type="dxa"/>
          </w:tcPr>
          <w:p>
            <w:pPr>
              <w:spacing w:after="0" w:line="240" w:lineRule="auto"/>
            </w:pPr>
            <w:r>
              <w:rPr>
                <w:rFonts w:ascii="Arial" w:hAnsi="Arial"/>
                <w:b w:val="0"/>
                <w:sz w:val="18"/>
              </w:rPr>
              <w:t>TUMBES</w:t>
            </w:r>
          </w:p>
        </w:tc>
        <w:tc>
          <w:tcPr>
            <w:tcW w:w="2880" w:type="dxa"/>
          </w:tcPr>
          <w:p>
            <w:pPr>
              <w:spacing w:after="0" w:line="240" w:lineRule="auto"/>
            </w:pPr>
            <w:r>
              <w:rPr>
                <w:rFonts w:ascii="Arial" w:hAnsi="Arial"/>
                <w:b w:val="0"/>
                <w:sz w:val="18"/>
              </w:rPr>
              <w:t>Tumbes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30</w:t>
            </w:r>
          </w:p>
        </w:tc>
        <w:tc>
          <w:tcPr>
            <w:tcW w:w="2880" w:type="dxa"/>
          </w:tcPr>
          <w:p>
            <w:pPr>
              <w:spacing w:after="0" w:line="240" w:lineRule="auto"/>
            </w:pPr>
            <w:r>
              <w:rPr>
                <w:rFonts w:ascii="Arial" w:hAnsi="Arial"/>
                <w:b w:val="0"/>
                <w:sz w:val="18"/>
              </w:rPr>
              <w:t>UCAYALI</w:t>
            </w:r>
          </w:p>
        </w:tc>
        <w:tc>
          <w:tcPr>
            <w:tcW w:w="2880" w:type="dxa"/>
          </w:tcPr>
          <w:p>
            <w:pPr>
              <w:spacing w:after="0" w:line="240" w:lineRule="auto"/>
            </w:pPr>
            <w:r>
              <w:rPr>
                <w:rFonts w:ascii="Arial" w:hAnsi="Arial"/>
                <w:b w:val="0"/>
                <w:sz w:val="18"/>
              </w:rPr>
              <w:t>Ucayali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31</w:t>
            </w:r>
          </w:p>
        </w:tc>
        <w:tc>
          <w:tcPr>
            <w:tcW w:w="2880" w:type="dxa"/>
          </w:tcPr>
          <w:p>
            <w:pPr>
              <w:spacing w:after="0" w:line="240" w:lineRule="auto"/>
            </w:pPr>
            <w:r>
              <w:rPr>
                <w:rFonts w:ascii="Arial" w:hAnsi="Arial"/>
                <w:b w:val="0"/>
                <w:sz w:val="18"/>
              </w:rPr>
              <w:t>VRAEM</w:t>
            </w:r>
          </w:p>
        </w:tc>
        <w:tc>
          <w:tcPr>
            <w:tcW w:w="2880" w:type="dxa"/>
          </w:tcPr>
          <w:p>
            <w:pPr>
              <w:spacing w:after="0" w:line="240" w:lineRule="auto"/>
            </w:pPr>
            <w:r>
              <w:rPr>
                <w:rFonts w:ascii="Arial" w:hAnsi="Arial"/>
                <w:b w:val="0"/>
                <w:sz w:val="18"/>
              </w:rPr>
              <w:t>VRAEM</w:t>
            </w:r>
          </w:p>
        </w:tc>
      </w:tr>
    </w:tbl>
    <w:p/>
    <w:p>
      <w:pPr>
        <w:spacing w:after="120"/>
        <w:ind w:firstLine="425"/>
        <w:jc w:val="both"/>
      </w:pPr>
      <w:r>
        <w:rPr>
          <w:rFonts w:ascii="Arial" w:hAnsi="Arial"/>
          <w:b w:val="0"/>
          <w:sz w:val="22"/>
        </w:rPr>
        <w:t>Estas 31 planillas se consolidan en staging como STG_GS2_OD_MULTAS (con COD_OD), pasan a la evidencia MI_FACT_MC_OD y alimentan el hecho de negocio MI_FACT_MULTA_COERCITIVA. El territorio de consulta se resuelve mediante la dimensión MI_DIM_OD. La magnitud de referencia del universo F1 en la corrida vigente es del orden de ≈ 280 filas de multas.</w:t>
      </w:r>
    </w:p>
    <w:p>
      <w:pPr>
        <w:spacing w:before="240" w:after="120"/>
      </w:pPr>
      <w:r>
        <w:rPr>
          <w:rFonts w:ascii="Arial" w:hAnsi="Arial"/>
          <w:b/>
          <w:sz w:val="24"/>
        </w:rPr>
        <w:t>Cuadro 9. Las 10 unidades CSEP (F2) descargadas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N.°</w:t>
            </w:r>
          </w:p>
        </w:tc>
        <w:tc>
          <w:tcPr>
            <w:tcW w:w="2880" w:type="dxa"/>
          </w:tcPr>
          <w:p>
            <w:pPr>
              <w:spacing w:after="0" w:line="240" w:lineRule="auto"/>
            </w:pPr>
            <w:r>
              <w:rPr>
                <w:rFonts w:ascii="Arial" w:hAnsi="Arial"/>
                <w:b/>
                <w:sz w:val="20"/>
              </w:rPr>
              <w:t>Código</w:t>
            </w:r>
          </w:p>
        </w:tc>
        <w:tc>
          <w:tcPr>
            <w:tcW w:w="2880" w:type="dxa"/>
          </w:tcPr>
          <w:p>
            <w:pPr>
              <w:spacing w:after="0" w:line="240" w:lineRule="auto"/>
            </w:pPr>
            <w:r>
              <w:rPr>
                <w:rFonts w:ascii="Arial" w:hAnsi="Arial"/>
                <w:b/>
                <w:sz w:val="20"/>
              </w:rPr>
              <w:t>Nombre / 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w:t>
            </w:r>
          </w:p>
        </w:tc>
        <w:tc>
          <w:tcPr>
            <w:tcW w:w="2880" w:type="dxa"/>
          </w:tcPr>
          <w:p>
            <w:pPr>
              <w:spacing w:after="0" w:line="240" w:lineRule="auto"/>
            </w:pPr>
            <w:r>
              <w:rPr>
                <w:rFonts w:ascii="Arial" w:hAnsi="Arial"/>
                <w:b w:val="0"/>
                <w:sz w:val="18"/>
              </w:rPr>
              <w:t>CMIN</w:t>
            </w:r>
          </w:p>
        </w:tc>
        <w:tc>
          <w:tcPr>
            <w:tcW w:w="2880" w:type="dxa"/>
          </w:tcPr>
          <w:p>
            <w:pPr>
              <w:spacing w:after="0" w:line="240" w:lineRule="auto"/>
            </w:pPr>
            <w:r>
              <w:rPr>
                <w:rFonts w:ascii="Arial" w:hAnsi="Arial"/>
                <w:b w:val="0"/>
                <w:sz w:val="18"/>
              </w:rPr>
              <w:t>Minería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2</w:t>
            </w:r>
          </w:p>
        </w:tc>
        <w:tc>
          <w:tcPr>
            <w:tcW w:w="2880" w:type="dxa"/>
          </w:tcPr>
          <w:p>
            <w:pPr>
              <w:spacing w:after="0" w:line="240" w:lineRule="auto"/>
            </w:pPr>
            <w:r>
              <w:rPr>
                <w:rFonts w:ascii="Arial" w:hAnsi="Arial"/>
                <w:b w:val="0"/>
                <w:sz w:val="18"/>
              </w:rPr>
              <w:t>CHID</w:t>
            </w:r>
          </w:p>
        </w:tc>
        <w:tc>
          <w:tcPr>
            <w:tcW w:w="2880" w:type="dxa"/>
          </w:tcPr>
          <w:p>
            <w:pPr>
              <w:spacing w:after="0" w:line="240" w:lineRule="auto"/>
            </w:pPr>
            <w:r>
              <w:rPr>
                <w:rFonts w:ascii="Arial" w:hAnsi="Arial"/>
                <w:b w:val="0"/>
                <w:sz w:val="18"/>
              </w:rPr>
              <w:t>Hidrocarburos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3</w:t>
            </w:r>
          </w:p>
        </w:tc>
        <w:tc>
          <w:tcPr>
            <w:tcW w:w="2880" w:type="dxa"/>
          </w:tcPr>
          <w:p>
            <w:pPr>
              <w:spacing w:after="0" w:line="240" w:lineRule="auto"/>
            </w:pPr>
            <w:r>
              <w:rPr>
                <w:rFonts w:ascii="Arial" w:hAnsi="Arial"/>
                <w:b w:val="0"/>
                <w:sz w:val="18"/>
              </w:rPr>
              <w:t>CELE</w:t>
            </w:r>
          </w:p>
        </w:tc>
        <w:tc>
          <w:tcPr>
            <w:tcW w:w="2880" w:type="dxa"/>
          </w:tcPr>
          <w:p>
            <w:pPr>
              <w:spacing w:after="0" w:line="240" w:lineRule="auto"/>
            </w:pPr>
            <w:r>
              <w:rPr>
                <w:rFonts w:ascii="Arial" w:hAnsi="Arial"/>
                <w:b w:val="0"/>
                <w:sz w:val="18"/>
              </w:rPr>
              <w:t>Electricidad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4</w:t>
            </w:r>
          </w:p>
        </w:tc>
        <w:tc>
          <w:tcPr>
            <w:tcW w:w="2880" w:type="dxa"/>
          </w:tcPr>
          <w:p>
            <w:pPr>
              <w:spacing w:after="0" w:line="240" w:lineRule="auto"/>
            </w:pPr>
            <w:r>
              <w:rPr>
                <w:rFonts w:ascii="Arial" w:hAnsi="Arial"/>
                <w:b w:val="0"/>
                <w:sz w:val="18"/>
              </w:rPr>
              <w:t>CIND</w:t>
            </w:r>
          </w:p>
        </w:tc>
        <w:tc>
          <w:tcPr>
            <w:tcW w:w="2880" w:type="dxa"/>
          </w:tcPr>
          <w:p>
            <w:pPr>
              <w:spacing w:after="0" w:line="240" w:lineRule="auto"/>
            </w:pPr>
            <w:r>
              <w:rPr>
                <w:rFonts w:ascii="Arial" w:hAnsi="Arial"/>
                <w:b w:val="0"/>
                <w:sz w:val="18"/>
              </w:rPr>
              <w:t>Industria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5</w:t>
            </w:r>
          </w:p>
        </w:tc>
        <w:tc>
          <w:tcPr>
            <w:tcW w:w="2880" w:type="dxa"/>
          </w:tcPr>
          <w:p>
            <w:pPr>
              <w:spacing w:after="0" w:line="240" w:lineRule="auto"/>
            </w:pPr>
            <w:r>
              <w:rPr>
                <w:rFonts w:ascii="Arial" w:hAnsi="Arial"/>
                <w:b w:val="0"/>
                <w:sz w:val="18"/>
              </w:rPr>
              <w:t>CPES</w:t>
            </w:r>
          </w:p>
        </w:tc>
        <w:tc>
          <w:tcPr>
            <w:tcW w:w="2880" w:type="dxa"/>
          </w:tcPr>
          <w:p>
            <w:pPr>
              <w:spacing w:after="0" w:line="240" w:lineRule="auto"/>
            </w:pPr>
            <w:r>
              <w:rPr>
                <w:rFonts w:ascii="Arial" w:hAnsi="Arial"/>
                <w:b w:val="0"/>
                <w:sz w:val="18"/>
              </w:rPr>
              <w:t>Pesca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6</w:t>
            </w:r>
          </w:p>
        </w:tc>
        <w:tc>
          <w:tcPr>
            <w:tcW w:w="2880" w:type="dxa"/>
          </w:tcPr>
          <w:p>
            <w:pPr>
              <w:spacing w:after="0" w:line="240" w:lineRule="auto"/>
            </w:pPr>
            <w:r>
              <w:rPr>
                <w:rFonts w:ascii="Arial" w:hAnsi="Arial"/>
                <w:b w:val="0"/>
                <w:sz w:val="18"/>
              </w:rPr>
              <w:t>CAGR</w:t>
            </w:r>
          </w:p>
        </w:tc>
        <w:tc>
          <w:tcPr>
            <w:tcW w:w="2880" w:type="dxa"/>
          </w:tcPr>
          <w:p>
            <w:pPr>
              <w:spacing w:after="0" w:line="240" w:lineRule="auto"/>
            </w:pPr>
            <w:r>
              <w:rPr>
                <w:rFonts w:ascii="Arial" w:hAnsi="Arial"/>
                <w:b w:val="0"/>
                <w:sz w:val="18"/>
              </w:rPr>
              <w:t>Agricultura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7</w:t>
            </w:r>
          </w:p>
        </w:tc>
        <w:tc>
          <w:tcPr>
            <w:tcW w:w="2880" w:type="dxa"/>
          </w:tcPr>
          <w:p>
            <w:pPr>
              <w:spacing w:after="0" w:line="240" w:lineRule="auto"/>
            </w:pPr>
            <w:r>
              <w:rPr>
                <w:rFonts w:ascii="Arial" w:hAnsi="Arial"/>
                <w:b w:val="0"/>
                <w:sz w:val="18"/>
              </w:rPr>
              <w:t>CRES</w:t>
            </w:r>
          </w:p>
        </w:tc>
        <w:tc>
          <w:tcPr>
            <w:tcW w:w="2880" w:type="dxa"/>
          </w:tcPr>
          <w:p>
            <w:pPr>
              <w:spacing w:after="0" w:line="240" w:lineRule="auto"/>
            </w:pPr>
            <w:r>
              <w:rPr>
                <w:rFonts w:ascii="Arial" w:hAnsi="Arial"/>
                <w:b w:val="0"/>
                <w:sz w:val="18"/>
              </w:rPr>
              <w:t>Residuos Sólidos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8</w:t>
            </w:r>
          </w:p>
        </w:tc>
        <w:tc>
          <w:tcPr>
            <w:tcW w:w="2880" w:type="dxa"/>
          </w:tcPr>
          <w:p>
            <w:pPr>
              <w:spacing w:after="0" w:line="240" w:lineRule="auto"/>
            </w:pPr>
            <w:r>
              <w:rPr>
                <w:rFonts w:ascii="Arial" w:hAnsi="Arial"/>
                <w:b w:val="0"/>
                <w:sz w:val="18"/>
              </w:rPr>
              <w:t>CCAM</w:t>
            </w:r>
          </w:p>
        </w:tc>
        <w:tc>
          <w:tcPr>
            <w:tcW w:w="2880" w:type="dxa"/>
          </w:tcPr>
          <w:p>
            <w:pPr>
              <w:spacing w:after="0" w:line="240" w:lineRule="auto"/>
            </w:pPr>
            <w:r>
              <w:rPr>
                <w:rFonts w:ascii="Arial" w:hAnsi="Arial"/>
                <w:b w:val="0"/>
                <w:sz w:val="18"/>
              </w:rPr>
              <w:t>Consultoras Ambientales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9</w:t>
            </w:r>
          </w:p>
        </w:tc>
        <w:tc>
          <w:tcPr>
            <w:tcW w:w="2880" w:type="dxa"/>
          </w:tcPr>
          <w:p>
            <w:pPr>
              <w:spacing w:after="0" w:line="240" w:lineRule="auto"/>
            </w:pPr>
            <w:r>
              <w:rPr>
                <w:rFonts w:ascii="Arial" w:hAnsi="Arial"/>
                <w:b w:val="0"/>
                <w:sz w:val="18"/>
              </w:rPr>
              <w:t>UFED</w:t>
            </w:r>
          </w:p>
        </w:tc>
        <w:tc>
          <w:tcPr>
            <w:tcW w:w="2880" w:type="dxa"/>
          </w:tcPr>
          <w:p>
            <w:pPr>
              <w:spacing w:after="0" w:line="240" w:lineRule="auto"/>
            </w:pPr>
            <w:r>
              <w:rPr>
                <w:rFonts w:ascii="Arial" w:hAnsi="Arial"/>
                <w:b w:val="0"/>
                <w:sz w:val="18"/>
              </w:rPr>
              <w:t>UF educación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10</w:t>
            </w:r>
          </w:p>
        </w:tc>
        <w:tc>
          <w:tcPr>
            <w:tcW w:w="2880" w:type="dxa"/>
          </w:tcPr>
          <w:p>
            <w:pPr>
              <w:spacing w:after="0" w:line="240" w:lineRule="auto"/>
            </w:pPr>
            <w:r>
              <w:rPr>
                <w:rFonts w:ascii="Arial" w:hAnsi="Arial"/>
                <w:b w:val="0"/>
                <w:sz w:val="18"/>
              </w:rPr>
              <w:t>UFSAVC</w:t>
            </w:r>
          </w:p>
        </w:tc>
        <w:tc>
          <w:tcPr>
            <w:tcW w:w="2880" w:type="dxa"/>
          </w:tcPr>
          <w:p>
            <w:pPr>
              <w:spacing w:after="0" w:line="240" w:lineRule="auto"/>
            </w:pPr>
            <w:r>
              <w:rPr>
                <w:rFonts w:ascii="Arial" w:hAnsi="Arial"/>
                <w:b w:val="0"/>
                <w:sz w:val="18"/>
              </w:rPr>
              <w:t>UF vivienda</w:t>
            </w:r>
          </w:p>
        </w:tc>
      </w:tr>
    </w:tbl>
    <w:p/>
    <w:p>
      <w:pPr>
        <w:spacing w:after="120"/>
        <w:ind w:firstLine="425"/>
        <w:jc w:val="both"/>
      </w:pPr>
      <w:r>
        <w:rPr>
          <w:rFonts w:ascii="Arial" w:hAnsi="Arial"/>
          <w:b w:val="0"/>
          <w:sz w:val="22"/>
        </w:rPr>
        <w:t>Estas 10 planillas se consolidan en STG_GS1_CSEP_MULTAS y STG_GS1_ETAPAS, pasan a MI_FACT_MC_CSEP y MI_DET_ETAPA_MC, y también alimentan el hecho de negocio. El territorio CSEP se consulta con MI_DIM_ORGANO_UNIDAD. Magnitud de referencia: ≈ 990 filas de multas y ≈ 2 070 filas de etapas.</w:t>
      </w:r>
    </w:p>
    <w:p>
      <w:pPr>
        <w:spacing w:before="240" w:after="120"/>
      </w:pPr>
      <w:r>
        <w:rPr>
          <w:rFonts w:ascii="Arial" w:hAnsi="Arial"/>
          <w:b/>
          <w:sz w:val="24"/>
        </w:rPr>
        <w:t>22. Diccionario funcional: para qué sirve cada tabla creada en Oracle</w:t>
      </w:r>
    </w:p>
    <w:p>
      <w:pPr>
        <w:spacing w:after="120"/>
        <w:ind w:firstLine="425"/>
        <w:jc w:val="both"/>
      </w:pPr>
      <w:r>
        <w:rPr>
          <w:rFonts w:ascii="Arial" w:hAnsi="Arial"/>
          <w:b w:val="0"/>
          <w:sz w:val="22"/>
        </w:rPr>
        <w:t>El almacén de datos publicado en Oracle (esquema de trabajo, típicamente APP en local o REPOCSEP en remoto) se organiza en cuatro familias de tablas: (i) dimensiones de consulta; (ii) hechos de evidencia por universo; (iii) hecho de negocio enriquecido y detalle de etapas; y (iv) tablas de auditoría (foto cruda). No se publican en Oracle las bitácoras DQ/QA ni los indicadores K1–K5: se calculan en la corrida ETL y quedan como control interno de la corrida. A continuación se describe, en lenguaje de negocio, la utilidad de cada objeto creado.</w:t>
      </w:r>
    </w:p>
    <w:p>
      <w:pPr>
        <w:spacing w:before="240" w:after="120"/>
      </w:pPr>
      <w:r>
        <w:rPr>
          <w:rFonts w:ascii="Arial" w:hAnsi="Arial"/>
          <w:b/>
          <w:sz w:val="24"/>
        </w:rPr>
        <w:t>22.1 Dimensiones (catálogos MI_DIM_*)</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Tabla</w:t>
            </w:r>
          </w:p>
        </w:tc>
        <w:tc>
          <w:tcPr>
            <w:tcW w:w="2880" w:type="dxa"/>
          </w:tcPr>
          <w:p>
            <w:pPr>
              <w:spacing w:after="0" w:line="240" w:lineRule="auto"/>
            </w:pPr>
            <w:r>
              <w:rPr>
                <w:rFonts w:ascii="Arial" w:hAnsi="Arial"/>
                <w:b/>
                <w:sz w:val="20"/>
              </w:rPr>
              <w:t>Grano</w:t>
            </w:r>
          </w:p>
        </w:tc>
        <w:tc>
          <w:tcPr>
            <w:tcW w:w="2880" w:type="dxa"/>
          </w:tcPr>
          <w:p>
            <w:pPr>
              <w:spacing w:after="0" w:line="240" w:lineRule="auto"/>
            </w:pPr>
            <w:r>
              <w:rPr>
                <w:rFonts w:ascii="Arial" w:hAnsi="Arial"/>
                <w:b/>
                <w:sz w:val="20"/>
              </w:rPr>
              <w:t>Para qué sirve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MI_DIM_FUENTE_REGISTRO</w:t>
            </w:r>
          </w:p>
        </w:tc>
        <w:tc>
          <w:tcPr>
            <w:tcW w:w="2880" w:type="dxa"/>
          </w:tcPr>
          <w:p>
            <w:pPr>
              <w:spacing w:after="0" w:line="240" w:lineRule="auto"/>
            </w:pPr>
            <w:r>
              <w:rPr>
                <w:rFonts w:ascii="Arial" w:hAnsi="Arial"/>
                <w:b w:val="0"/>
                <w:sz w:val="18"/>
              </w:rPr>
              <w:t>1 universo de origen</w:t>
            </w:r>
          </w:p>
        </w:tc>
        <w:tc>
          <w:tcPr>
            <w:tcW w:w="2880" w:type="dxa"/>
          </w:tcPr>
          <w:p>
            <w:pPr>
              <w:spacing w:after="0" w:line="240" w:lineRule="auto"/>
            </w:pPr>
            <w:r>
              <w:rPr>
                <w:rFonts w:ascii="Arial" w:hAnsi="Arial"/>
                <w:b w:val="0"/>
                <w:sz w:val="18"/>
              </w:rPr>
              <w:t>Responde de qué fuente proviene la fila (OD_SHEETS, CAGR, SISUD_VW, etc.). Evita sumar universos distintos como un solo censo y permite filtrar linaje.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MI_DIM_ORGANO_UNIDAD</w:t>
            </w:r>
          </w:p>
        </w:tc>
        <w:tc>
          <w:tcPr>
            <w:tcW w:w="2880" w:type="dxa"/>
          </w:tcPr>
          <w:p>
            <w:pPr>
              <w:spacing w:after="0" w:line="240" w:lineRule="auto"/>
            </w:pPr>
            <w:r>
              <w:rPr>
                <w:rFonts w:ascii="Arial" w:hAnsi="Arial"/>
                <w:b w:val="0"/>
                <w:sz w:val="18"/>
              </w:rPr>
              <w:t>1 unidad CSEP</w:t>
            </w:r>
          </w:p>
        </w:tc>
        <w:tc>
          <w:tcPr>
            <w:tcW w:w="2880" w:type="dxa"/>
          </w:tcPr>
          <w:p>
            <w:pPr>
              <w:spacing w:after="0" w:line="240" w:lineRule="auto"/>
            </w:pPr>
            <w:r>
              <w:rPr>
                <w:rFonts w:ascii="Arial" w:hAnsi="Arial"/>
                <w:b w:val="0"/>
                <w:sz w:val="18"/>
              </w:rPr>
              <w:t>Catálogo de las 10 unidades CSEP (+ ND). Sirve para cortes de gestión del universo F2 (por ejemplo, Minería, Hidrocarburos).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MI_DIM_OD</w:t>
            </w:r>
          </w:p>
        </w:tc>
        <w:tc>
          <w:tcPr>
            <w:tcW w:w="2880" w:type="dxa"/>
          </w:tcPr>
          <w:p>
            <w:pPr>
              <w:spacing w:after="0" w:line="240" w:lineRule="auto"/>
            </w:pPr>
            <w:r>
              <w:rPr>
                <w:rFonts w:ascii="Arial" w:hAnsi="Arial"/>
                <w:b w:val="0"/>
                <w:sz w:val="18"/>
              </w:rPr>
              <w:t>1 oficina OD</w:t>
            </w:r>
          </w:p>
        </w:tc>
        <w:tc>
          <w:tcPr>
            <w:tcW w:w="2880" w:type="dxa"/>
          </w:tcPr>
          <w:p>
            <w:pPr>
              <w:spacing w:after="0" w:line="240" w:lineRule="auto"/>
            </w:pPr>
            <w:r>
              <w:rPr>
                <w:rFonts w:ascii="Arial" w:hAnsi="Arial"/>
                <w:b w:val="0"/>
                <w:sz w:val="18"/>
              </w:rPr>
              <w:t>Catálogo de oficinas desconcentradas (31 planillas + miembros de apoyo). Sirve para cortes territoriales del universo 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MI_DIM_ADMINISTRADO</w:t>
            </w:r>
          </w:p>
        </w:tc>
        <w:tc>
          <w:tcPr>
            <w:tcW w:w="2880" w:type="dxa"/>
          </w:tcPr>
          <w:p>
            <w:pPr>
              <w:spacing w:after="0" w:line="240" w:lineRule="auto"/>
            </w:pPr>
            <w:r>
              <w:rPr>
                <w:rFonts w:ascii="Arial" w:hAnsi="Arial"/>
                <w:b w:val="0"/>
                <w:sz w:val="18"/>
              </w:rPr>
              <w:t>1 administrado</w:t>
            </w:r>
          </w:p>
        </w:tc>
        <w:tc>
          <w:tcPr>
            <w:tcW w:w="2880" w:type="dxa"/>
          </w:tcPr>
          <w:p>
            <w:pPr>
              <w:spacing w:after="0" w:line="240" w:lineRule="auto"/>
            </w:pPr>
            <w:r>
              <w:rPr>
                <w:rFonts w:ascii="Arial" w:hAnsi="Arial"/>
                <w:b w:val="0"/>
                <w:sz w:val="18"/>
              </w:rPr>
              <w:t>Identifica al sujeto fiscalizado. Permite agrupar o filtrar multas por 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MI_DIM_ESTADO</w:t>
            </w:r>
          </w:p>
        </w:tc>
        <w:tc>
          <w:tcPr>
            <w:tcW w:w="2880" w:type="dxa"/>
          </w:tcPr>
          <w:p>
            <w:pPr>
              <w:spacing w:after="0" w:line="240" w:lineRule="auto"/>
            </w:pPr>
            <w:r>
              <w:rPr>
                <w:rFonts w:ascii="Arial" w:hAnsi="Arial"/>
                <w:b w:val="0"/>
                <w:sz w:val="18"/>
              </w:rPr>
              <w:t>1 estado</w:t>
            </w:r>
          </w:p>
        </w:tc>
        <w:tc>
          <w:tcPr>
            <w:tcW w:w="2880" w:type="dxa"/>
          </w:tcPr>
          <w:p>
            <w:pPr>
              <w:spacing w:after="0" w:line="240" w:lineRule="auto"/>
            </w:pPr>
            <w:r>
              <w:rPr>
                <w:rFonts w:ascii="Arial" w:hAnsi="Arial"/>
                <w:b w:val="0"/>
                <w:sz w:val="18"/>
              </w:rPr>
              <w:t>Catálogo único de estados (resolución, multa, pago). Homogeneiza el lenguaje libre de planillas para cortes comparables.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MI_DIM_TIEMPO</w:t>
            </w:r>
          </w:p>
        </w:tc>
        <w:tc>
          <w:tcPr>
            <w:tcW w:w="2880" w:type="dxa"/>
          </w:tcPr>
          <w:p>
            <w:pPr>
              <w:spacing w:after="0" w:line="240" w:lineRule="auto"/>
            </w:pPr>
            <w:r>
              <w:rPr>
                <w:rFonts w:ascii="Arial" w:hAnsi="Arial"/>
                <w:b w:val="0"/>
                <w:sz w:val="18"/>
              </w:rPr>
              <w:t>1 día</w:t>
            </w:r>
          </w:p>
        </w:tc>
        <w:tc>
          <w:tcPr>
            <w:tcW w:w="2880" w:type="dxa"/>
          </w:tcPr>
          <w:p>
            <w:pPr>
              <w:spacing w:after="0" w:line="240" w:lineRule="auto"/>
            </w:pPr>
            <w:r>
              <w:rPr>
                <w:rFonts w:ascii="Arial" w:hAnsi="Arial"/>
                <w:b w:val="0"/>
                <w:sz w:val="18"/>
              </w:rPr>
              <w:t>Calendario de consulta. Habilita cortes por día, mes, trimestre y año (p. ej. vía ID_TIEMPO_FIRMA).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MI_DIM_PARAMETRO_UIT</w:t>
            </w:r>
          </w:p>
        </w:tc>
        <w:tc>
          <w:tcPr>
            <w:tcW w:w="2880" w:type="dxa"/>
          </w:tcPr>
          <w:p>
            <w:pPr>
              <w:spacing w:after="0" w:line="240" w:lineRule="auto"/>
            </w:pPr>
            <w:r>
              <w:rPr>
                <w:rFonts w:ascii="Arial" w:hAnsi="Arial"/>
                <w:b w:val="0"/>
                <w:sz w:val="18"/>
              </w:rPr>
              <w:t>1 año</w:t>
            </w:r>
          </w:p>
        </w:tc>
        <w:tc>
          <w:tcPr>
            <w:tcW w:w="2880" w:type="dxa"/>
          </w:tcPr>
          <w:p>
            <w:pPr>
              <w:spacing w:after="0" w:line="240" w:lineRule="auto"/>
            </w:pPr>
            <w:r>
              <w:rPr>
                <w:rFonts w:ascii="Arial" w:hAnsi="Arial"/>
                <w:b w:val="0"/>
                <w:sz w:val="18"/>
              </w:rPr>
              <w:t>Valor UIT del año. Contextualiza montos y alimenta la verificación UIT↔soles.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MI_DIM_MATERIA_SUBSECTOR</w:t>
            </w:r>
          </w:p>
        </w:tc>
        <w:tc>
          <w:tcPr>
            <w:tcW w:w="2880" w:type="dxa"/>
          </w:tcPr>
          <w:p>
            <w:pPr>
              <w:spacing w:after="0" w:line="240" w:lineRule="auto"/>
            </w:pPr>
            <w:r>
              <w:rPr>
                <w:rFonts w:ascii="Arial" w:hAnsi="Arial"/>
                <w:b w:val="0"/>
                <w:sz w:val="18"/>
              </w:rPr>
              <w:t>1 materia</w:t>
            </w:r>
          </w:p>
        </w:tc>
        <w:tc>
          <w:tcPr>
            <w:tcW w:w="2880" w:type="dxa"/>
          </w:tcPr>
          <w:p>
            <w:pPr>
              <w:spacing w:after="0" w:line="240" w:lineRule="auto"/>
            </w:pPr>
            <w:r>
              <w:rPr>
                <w:rFonts w:ascii="Arial" w:hAnsi="Arial"/>
                <w:b w:val="0"/>
                <w:sz w:val="18"/>
              </w:rPr>
              <w:t>Clasificación temática cuando existe dato; en muchos casos permanece no especificado (-1).</w:t>
            </w:r>
          </w:p>
        </w:tc>
      </w:tr>
    </w:tbl>
    <w:p/>
    <w:p>
      <w:pPr>
        <w:spacing w:after="120"/>
        <w:ind w:firstLine="425"/>
        <w:jc w:val="both"/>
      </w:pPr>
      <w:r>
        <w:rPr>
          <w:rFonts w:ascii="Arial" w:hAnsi="Arial"/>
          <w:b w:val="0"/>
          <w:sz w:val="22"/>
        </w:rPr>
        <w:t>Regla de uso: las dimensiones no se “suman” solas; se cruzan con hechos mediante identificadores (ID_FUENTE, ID_ORGANO, ID_OD, ID_ADMINISTRADO, ID_ESTADO_*, ID_TIEMPO_FIRMA, ID_UIT, ID_MATERIA). El valor -1 representa “NO ESPECIFICADO” y debe interpretarse como ausencia de dato, no como error de carga.</w:t>
      </w:r>
    </w:p>
    <w:p>
      <w:pPr>
        <w:spacing w:before="240" w:after="120"/>
      </w:pPr>
      <w:r>
        <w:rPr>
          <w:rFonts w:ascii="Arial" w:hAnsi="Arial"/>
          <w:b/>
          <w:sz w:val="24"/>
        </w:rPr>
        <w:t>22.2 Hechos de evidencia (qué se descargó)</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Tabla</w:t>
            </w:r>
          </w:p>
        </w:tc>
        <w:tc>
          <w:tcPr>
            <w:tcW w:w="2880" w:type="dxa"/>
          </w:tcPr>
          <w:p>
            <w:pPr>
              <w:spacing w:after="0" w:line="240" w:lineRule="auto"/>
            </w:pPr>
            <w:r>
              <w:rPr>
                <w:rFonts w:ascii="Arial" w:hAnsi="Arial"/>
                <w:b/>
                <w:sz w:val="20"/>
              </w:rPr>
              <w:t>Grano</w:t>
            </w:r>
          </w:p>
        </w:tc>
        <w:tc>
          <w:tcPr>
            <w:tcW w:w="2880" w:type="dxa"/>
          </w:tcPr>
          <w:p>
            <w:pPr>
              <w:spacing w:after="0" w:line="240" w:lineRule="auto"/>
            </w:pPr>
            <w:r>
              <w:rPr>
                <w:rFonts w:ascii="Arial" w:hAnsi="Arial"/>
                <w:b/>
                <w:sz w:val="20"/>
              </w:rPr>
              <w:t>Para qué sirve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MI_FACT_MC_CSEP</w:t>
            </w:r>
          </w:p>
        </w:tc>
        <w:tc>
          <w:tcPr>
            <w:tcW w:w="2880" w:type="dxa"/>
          </w:tcPr>
          <w:p>
            <w:pPr>
              <w:spacing w:after="0" w:line="240" w:lineRule="auto"/>
            </w:pPr>
            <w:r>
              <w:rPr>
                <w:rFonts w:ascii="Arial" w:hAnsi="Arial"/>
                <w:b w:val="0"/>
                <w:sz w:val="18"/>
              </w:rPr>
              <w:t>1 multa F2</w:t>
            </w:r>
          </w:p>
        </w:tc>
        <w:tc>
          <w:tcPr>
            <w:tcW w:w="2880" w:type="dxa"/>
          </w:tcPr>
          <w:p>
            <w:pPr>
              <w:spacing w:after="0" w:line="240" w:lineRule="auto"/>
            </w:pPr>
            <w:r>
              <w:rPr>
                <w:rFonts w:ascii="Arial" w:hAnsi="Arial"/>
                <w:b w:val="0"/>
                <w:sz w:val="18"/>
              </w:rPr>
              <w:t>Evidencia de las 10 planillas CSEP. Responde “¿qué entró desde F2?”. Es base del seguimiento CSEP y del enrich de negocio.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MI_FACT_MC_OD</w:t>
            </w:r>
          </w:p>
        </w:tc>
        <w:tc>
          <w:tcPr>
            <w:tcW w:w="2880" w:type="dxa"/>
          </w:tcPr>
          <w:p>
            <w:pPr>
              <w:spacing w:after="0" w:line="240" w:lineRule="auto"/>
            </w:pPr>
            <w:r>
              <w:rPr>
                <w:rFonts w:ascii="Arial" w:hAnsi="Arial"/>
                <w:b w:val="0"/>
                <w:sz w:val="18"/>
              </w:rPr>
              <w:t>1 multa F1</w:t>
            </w:r>
          </w:p>
        </w:tc>
        <w:tc>
          <w:tcPr>
            <w:tcW w:w="2880" w:type="dxa"/>
          </w:tcPr>
          <w:p>
            <w:pPr>
              <w:spacing w:after="0" w:line="240" w:lineRule="auto"/>
            </w:pPr>
            <w:r>
              <w:rPr>
                <w:rFonts w:ascii="Arial" w:hAnsi="Arial"/>
                <w:b w:val="0"/>
                <w:sz w:val="18"/>
              </w:rPr>
              <w:t>Evidencia de las 31 planillas OD. Responde “¿qué entró desde F1?”. Es base del seguimiento territorial y del enrich de negocio.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MI_FACT_MC_SISUD</w:t>
            </w:r>
          </w:p>
        </w:tc>
        <w:tc>
          <w:tcPr>
            <w:tcW w:w="2880" w:type="dxa"/>
          </w:tcPr>
          <w:p>
            <w:pPr>
              <w:spacing w:after="0" w:line="240" w:lineRule="auto"/>
            </w:pPr>
            <w:r>
              <w:rPr>
                <w:rFonts w:ascii="Arial" w:hAnsi="Arial"/>
                <w:b w:val="0"/>
                <w:sz w:val="18"/>
              </w:rPr>
              <w:t>1 multa F5</w:t>
            </w:r>
          </w:p>
        </w:tc>
        <w:tc>
          <w:tcPr>
            <w:tcW w:w="2880" w:type="dxa"/>
          </w:tcPr>
          <w:p>
            <w:pPr>
              <w:spacing w:after="0" w:line="240" w:lineRule="auto"/>
            </w:pPr>
            <w:r>
              <w:rPr>
                <w:rFonts w:ascii="Arial" w:hAnsi="Arial"/>
                <w:b w:val="0"/>
                <w:sz w:val="18"/>
              </w:rPr>
              <w:t>Evidencia de la vista institucional SISUD. Responde “¿qué contiene el núcleo?” y aporta el lookup de CUM/CAM al enrich.</w:t>
            </w:r>
          </w:p>
        </w:tc>
      </w:tr>
    </w:tbl>
    <w:p/>
    <w:p>
      <w:pPr>
        <w:spacing w:after="120"/>
        <w:ind w:firstLine="425"/>
        <w:jc w:val="both"/>
      </w:pPr>
      <w:r>
        <w:rPr>
          <w:rFonts w:ascii="Arial" w:hAnsi="Arial"/>
          <w:b w:val="0"/>
          <w:sz w:val="22"/>
        </w:rPr>
        <w:t>Estas tres tablas son universos independientes. Sus conteos (≈ 990 / ≈ 280 / ≈ 530 en la corrida de referencia) no deben sumarse para obtener un “total único de multas del OEFA”. Cada una responde a una pregunta de procedencia distinta.</w:t>
      </w:r>
    </w:p>
    <w:p>
      <w:pPr>
        <w:spacing w:before="240" w:after="120"/>
      </w:pPr>
      <w:r>
        <w:rPr>
          <w:rFonts w:ascii="Arial" w:hAnsi="Arial"/>
          <w:b/>
          <w:sz w:val="24"/>
        </w:rPr>
        <w:t>22.3 Hecho de negocio y detalle operativo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Tabla</w:t>
            </w:r>
          </w:p>
        </w:tc>
        <w:tc>
          <w:tcPr>
            <w:tcW w:w="2880" w:type="dxa"/>
          </w:tcPr>
          <w:p>
            <w:pPr>
              <w:spacing w:after="0" w:line="240" w:lineRule="auto"/>
            </w:pPr>
            <w:r>
              <w:rPr>
                <w:rFonts w:ascii="Arial" w:hAnsi="Arial"/>
                <w:b/>
                <w:sz w:val="20"/>
              </w:rPr>
              <w:t>Grano</w:t>
            </w:r>
          </w:p>
        </w:tc>
        <w:tc>
          <w:tcPr>
            <w:tcW w:w="2880" w:type="dxa"/>
          </w:tcPr>
          <w:p>
            <w:pPr>
              <w:spacing w:after="0" w:line="240" w:lineRule="auto"/>
            </w:pPr>
            <w:r>
              <w:rPr>
                <w:rFonts w:ascii="Arial" w:hAnsi="Arial"/>
                <w:b/>
                <w:sz w:val="20"/>
              </w:rPr>
              <w:t>Para qué sirve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MI_FACT_MULTA_COERCITIVA</w:t>
            </w:r>
          </w:p>
        </w:tc>
        <w:tc>
          <w:tcPr>
            <w:tcW w:w="2880" w:type="dxa"/>
          </w:tcPr>
          <w:p>
            <w:pPr>
              <w:spacing w:after="0" w:line="240" w:lineRule="auto"/>
            </w:pPr>
            <w:r>
              <w:rPr>
                <w:rFonts w:ascii="Arial" w:hAnsi="Arial"/>
                <w:b w:val="0"/>
                <w:sz w:val="18"/>
              </w:rPr>
              <w:t>1 multa de planilla + CUM/CAM si hay match</w:t>
            </w:r>
          </w:p>
        </w:tc>
        <w:tc>
          <w:tcPr>
            <w:tcW w:w="2880" w:type="dxa"/>
          </w:tcPr>
          <w:p>
            <w:pPr>
              <w:spacing w:after="0" w:line="240" w:lineRule="auto"/>
            </w:pPr>
            <w:r>
              <w:rPr>
                <w:rFonts w:ascii="Arial" w:hAnsi="Arial"/>
                <w:b w:val="0"/>
                <w:sz w:val="18"/>
              </w:rPr>
              <w:t>Tabla principal de consulta de gestión. Une CSEP+OD (vertical) y completa CUM/CAM desde SISUD cuando hay correspondencia por resolución normalizada + monto UIT (horizontal).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MI_DET_ETAPA_MC</w:t>
            </w:r>
          </w:p>
        </w:tc>
        <w:tc>
          <w:tcPr>
            <w:tcW w:w="2880" w:type="dxa"/>
          </w:tcPr>
          <w:p>
            <w:pPr>
              <w:spacing w:after="0" w:line="240" w:lineRule="auto"/>
            </w:pPr>
            <w:r>
              <w:rPr>
                <w:rFonts w:ascii="Arial" w:hAnsi="Arial"/>
                <w:b w:val="0"/>
                <w:sz w:val="18"/>
              </w:rPr>
              <w:t>1 etapa de multa CSEP</w:t>
            </w:r>
          </w:p>
        </w:tc>
        <w:tc>
          <w:tcPr>
            <w:tcW w:w="2880" w:type="dxa"/>
          </w:tcPr>
          <w:p>
            <w:pPr>
              <w:spacing w:after="0" w:line="240" w:lineRule="auto"/>
            </w:pPr>
            <w:r>
              <w:rPr>
                <w:rFonts w:ascii="Arial" w:hAnsi="Arial"/>
                <w:b w:val="0"/>
                <w:sz w:val="18"/>
              </w:rPr>
              <w:t>Drill-down del flujo interno CSEP. Permite ver avance por etapas asociado a la multa evidencia F2.</w:t>
            </w:r>
          </w:p>
        </w:tc>
      </w:tr>
    </w:tbl>
    <w:p/>
    <w:p>
      <w:pPr>
        <w:spacing w:after="120"/>
        <w:ind w:firstLine="425"/>
        <w:jc w:val="both"/>
        <w:rPr>
          <w:rFonts w:ascii="Arial" w:hAnsi="Arial"/>
          <w:b w:val="0"/>
          <w:sz w:val="22"/>
        </w:rPr>
      </w:pPr>
      <w:r>
        <w:rPr>
          <w:rFonts w:ascii="Arial" w:hAnsi="Arial"/>
          <w:b w:val="0"/>
          <w:sz w:val="22"/>
        </w:rPr>
        <w:t>Lectura de magnitud: el hecho de negocio ≈ 1 270 filas corresponde, en la lógica vigente, a CSEP + OD (≈ 990 + ≈ 280), no a la suma de los tres hechos de evidencia. SISUD no añade filas solo-institucionales al hecho final; solo enriquece columnas cuando hay match.</w:t>
      </w: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before="240" w:after="120"/>
      </w:pPr>
      <w:r>
        <w:rPr>
          <w:rFonts w:ascii="Arial" w:hAnsi="Arial"/>
          <w:b/>
          <w:sz w:val="24"/>
        </w:rPr>
        <w:t>22.4 Tablas de auditoría MI_AUD_* (foto cruda 1:1)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sz w:val="20"/>
              </w:rPr>
              <w:t>Tabla</w:t>
            </w:r>
          </w:p>
        </w:tc>
        <w:tc>
          <w:tcPr>
            <w:tcW w:w="2880" w:type="dxa"/>
          </w:tcPr>
          <w:p>
            <w:pPr>
              <w:spacing w:after="0" w:line="240" w:lineRule="auto"/>
            </w:pPr>
            <w:r>
              <w:rPr>
                <w:rFonts w:ascii="Arial" w:hAnsi="Arial"/>
                <w:b/>
                <w:sz w:val="20"/>
              </w:rPr>
              <w:t>Grano</w:t>
            </w:r>
          </w:p>
        </w:tc>
        <w:tc>
          <w:tcPr>
            <w:tcW w:w="2880" w:type="dxa"/>
          </w:tcPr>
          <w:p>
            <w:pPr>
              <w:spacing w:after="0" w:line="240" w:lineRule="auto"/>
            </w:pPr>
            <w:r>
              <w:rPr>
                <w:rFonts w:ascii="Arial" w:hAnsi="Arial"/>
                <w:b/>
                <w:sz w:val="20"/>
              </w:rPr>
              <w:t>Para qué sirve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MI_AUD_F2_CSEP_MULTAS</w:t>
            </w:r>
          </w:p>
        </w:tc>
        <w:tc>
          <w:tcPr>
            <w:tcW w:w="2880" w:type="dxa"/>
          </w:tcPr>
          <w:p>
            <w:pPr>
              <w:spacing w:after="0" w:line="240" w:lineRule="auto"/>
            </w:pPr>
            <w:r>
              <w:rPr>
                <w:rFonts w:ascii="Arial" w:hAnsi="Arial"/>
                <w:b w:val="0"/>
                <w:sz w:val="18"/>
              </w:rPr>
              <w:t>1 fila STG F2</w:t>
            </w:r>
          </w:p>
        </w:tc>
        <w:tc>
          <w:tcPr>
            <w:tcW w:w="2880" w:type="dxa"/>
          </w:tcPr>
          <w:p>
            <w:pPr>
              <w:spacing w:after="0" w:line="240" w:lineRule="auto"/>
            </w:pPr>
            <w:r>
              <w:rPr>
                <w:rFonts w:ascii="Arial" w:hAnsi="Arial"/>
                <w:b w:val="0"/>
                <w:sz w:val="18"/>
              </w:rPr>
              <w:t>Copia 1:1 de lo leído desde las 10 planillas CSEP. Respaldo ante observación o contraste con la evidencia.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MI_AUD_F2_CSEP_ETAPAS</w:t>
            </w:r>
          </w:p>
        </w:tc>
        <w:tc>
          <w:tcPr>
            <w:tcW w:w="2880" w:type="dxa"/>
          </w:tcPr>
          <w:p>
            <w:pPr>
              <w:spacing w:after="0" w:line="240" w:lineRule="auto"/>
            </w:pPr>
            <w:r>
              <w:rPr>
                <w:rFonts w:ascii="Arial" w:hAnsi="Arial"/>
                <w:b w:val="0"/>
                <w:sz w:val="18"/>
              </w:rPr>
              <w:t>1 fila STG etapas</w:t>
            </w:r>
          </w:p>
        </w:tc>
        <w:tc>
          <w:tcPr>
            <w:tcW w:w="2880" w:type="dxa"/>
          </w:tcPr>
          <w:p>
            <w:pPr>
              <w:spacing w:after="0" w:line="240" w:lineRule="auto"/>
            </w:pPr>
            <w:r>
              <w:rPr>
                <w:rFonts w:ascii="Arial" w:hAnsi="Arial"/>
                <w:b w:val="0"/>
                <w:sz w:val="18"/>
              </w:rPr>
              <w:t>Copia 1:1 de etapas CSEP. Sustenta el detalle cargado en MI_DET_ETAPA_MC.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rPr>
                <w:rFonts w:ascii="Arial" w:hAnsi="Arial"/>
                <w:b w:val="0"/>
                <w:sz w:val="18"/>
              </w:rPr>
              <w:t>MI_AUD_F1_OD_MULTAS</w:t>
            </w:r>
          </w:p>
        </w:tc>
        <w:tc>
          <w:tcPr>
            <w:tcW w:w="2880" w:type="dxa"/>
          </w:tcPr>
          <w:p>
            <w:pPr>
              <w:spacing w:after="0" w:line="240" w:lineRule="auto"/>
            </w:pPr>
            <w:r>
              <w:rPr>
                <w:rFonts w:ascii="Arial" w:hAnsi="Arial"/>
                <w:b w:val="0"/>
                <w:sz w:val="18"/>
              </w:rPr>
              <w:t>1 fila STG F1</w:t>
            </w:r>
          </w:p>
        </w:tc>
        <w:tc>
          <w:tcPr>
            <w:tcW w:w="2880" w:type="dxa"/>
          </w:tcPr>
          <w:p>
            <w:pPr>
              <w:spacing w:after="0" w:line="240" w:lineRule="auto"/>
            </w:pPr>
            <w:r>
              <w:rPr>
                <w:rFonts w:ascii="Arial" w:hAnsi="Arial"/>
                <w:b w:val="0"/>
                <w:sz w:val="18"/>
              </w:rPr>
              <w:t>Copia 1:1 de lo leído desde las 31 planillas OD. Respaldo del universo territorial.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rPr>
                <w:rFonts w:ascii="Arial" w:hAnsi="Arial"/>
                <w:b w:val="0"/>
                <w:sz w:val="18"/>
              </w:rPr>
              <w:t>MI_AUD_F5_SISUD_VW</w:t>
            </w:r>
          </w:p>
        </w:tc>
        <w:tc>
          <w:tcPr>
            <w:tcW w:w="2880" w:type="dxa"/>
          </w:tcPr>
          <w:p>
            <w:pPr>
              <w:spacing w:after="0" w:line="240" w:lineRule="auto"/>
            </w:pPr>
            <w:r>
              <w:rPr>
                <w:rFonts w:ascii="Arial" w:hAnsi="Arial"/>
                <w:b w:val="0"/>
                <w:sz w:val="18"/>
              </w:rPr>
              <w:t>1 fila STG F5</w:t>
            </w:r>
          </w:p>
        </w:tc>
        <w:tc>
          <w:tcPr>
            <w:tcW w:w="2880" w:type="dxa"/>
          </w:tcPr>
          <w:p>
            <w:pPr>
              <w:spacing w:after="0" w:line="240" w:lineRule="auto"/>
            </w:pPr>
            <w:r>
              <w:rPr>
                <w:rFonts w:ascii="Arial" w:hAnsi="Arial"/>
                <w:b w:val="0"/>
                <w:sz w:val="18"/>
              </w:rPr>
              <w:t>Copia 1:1 de la vista SISUD usada en el enrich. Contraste del núcleo institucional.</w:t>
            </w:r>
          </w:p>
        </w:tc>
      </w:tr>
    </w:tbl>
    <w:p/>
    <w:p>
      <w:pPr>
        <w:spacing w:after="120"/>
        <w:ind w:firstLine="425"/>
        <w:jc w:val="both"/>
      </w:pPr>
      <w:r>
        <w:rPr>
          <w:rFonts w:ascii="Arial" w:hAnsi="Arial"/>
          <w:b w:val="0"/>
          <w:sz w:val="22"/>
        </w:rPr>
        <w:t>Las tablas MI_AUD_* están fuera de la estrella dimensional: no se usan para indicadores de gestión agregados, sino para trazabilidad y defensa de cifras ante revisión. Su volumen debe alinearse con el staging de la misma corrida.</w:t>
      </w:r>
    </w:p>
    <w:p>
      <w:pPr>
        <w:spacing w:before="240" w:after="120"/>
      </w:pPr>
      <w:r>
        <w:rPr>
          <w:rFonts w:ascii="Arial" w:hAnsi="Arial"/>
          <w:b/>
          <w:sz w:val="24"/>
        </w:rPr>
        <w:t>23. Lógica de crecimiento vertical y horizontal del modelo</w:t>
      </w:r>
    </w:p>
    <w:p>
      <w:pPr>
        <w:spacing w:after="120"/>
        <w:ind w:firstLine="425"/>
        <w:jc w:val="both"/>
      </w:pPr>
      <w:r>
        <w:rPr>
          <w:rFonts w:ascii="Arial" w:hAnsi="Arial"/>
          <w:b w:val="0"/>
          <w:sz w:val="22"/>
        </w:rPr>
        <w:t>Crecimiento vertical: se produce cuando aumentan las filas de multas provenientes de las planillas que gobiernan el negocio (las 31 OD y las 10 CSEP). Más planillas o más registros nuevos en F1/F2 incrementan MI_FACT_MC_OD / MI_FACT_MC_CSEP y, en consecuencia, MI_FACT_MULTA_COERCITIVA.</w:t>
      </w:r>
    </w:p>
    <w:p>
      <w:pPr>
        <w:spacing w:after="120"/>
        <w:ind w:firstLine="425"/>
        <w:jc w:val="both"/>
      </w:pPr>
      <w:r>
        <w:rPr>
          <w:rFonts w:ascii="Arial" w:hAnsi="Arial"/>
          <w:b w:val="0"/>
          <w:sz w:val="22"/>
        </w:rPr>
        <w:t>Crecimiento horizontal: se produce cuando una multa ya existente en planilla encuentra correspondencia en SISUD por resolución normalizada + monto UIT. No se crea una fila nueva: se completan columnas de la misma fila (típicamente CUM y CAM). Es enriquecimiento lateral.</w:t>
      </w:r>
    </w:p>
    <w:p>
      <w:pPr>
        <w:spacing w:after="120"/>
        <w:ind w:firstLine="425"/>
        <w:jc w:val="both"/>
      </w:pPr>
      <w:r>
        <w:rPr>
          <w:rFonts w:ascii="Arial" w:hAnsi="Arial"/>
          <w:b w:val="0"/>
          <w:sz w:val="22"/>
        </w:rPr>
        <w:t>Regla central: “Sheet manda”. SISUD es universo de contraste y de enriquecimiento, no de ampliación vertical del hecho final. Por ello, preguntar “¿cuántas multas de seguimiento hay?” se responde con CSEP, OD o el hecho de negocio; preguntar “¿qué hay en el núcleo?” se responde con MI_FACT_MC_SISUD o MI_AUD_F5_SISUD_VW.</w:t>
      </w:r>
    </w:p>
    <w:p>
      <w:pPr>
        <w:spacing w:before="240" w:after="120"/>
      </w:pPr>
      <w:r>
        <w:rPr>
          <w:rFonts w:ascii="Arial" w:hAnsi="Arial"/>
          <w:b/>
          <w:sz w:val="24"/>
        </w:rPr>
        <w:t>Cuadro 10. Relación práctica pregunta → tabla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sz w:val="20"/>
              </w:rPr>
              <w:t>Pregunta de gestión</w:t>
            </w:r>
          </w:p>
        </w:tc>
        <w:tc>
          <w:tcPr>
            <w:tcW w:w="4320" w:type="dxa"/>
          </w:tcPr>
          <w:p>
            <w:pPr>
              <w:spacing w:after="0" w:line="240" w:lineRule="auto"/>
            </w:pPr>
            <w:r>
              <w:rPr>
                <w:rFonts w:ascii="Arial" w:hAnsi="Arial"/>
                <w:b/>
                <w:sz w:val="20"/>
              </w:rPr>
              <w:t>Tabla(s) a usar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¿Qué se descargó de las 10 CSEP?</w:t>
            </w:r>
          </w:p>
        </w:tc>
        <w:tc>
          <w:tcPr>
            <w:tcW w:w="4320" w:type="dxa"/>
          </w:tcPr>
          <w:p>
            <w:pPr>
              <w:spacing w:after="0" w:line="240" w:lineRule="auto"/>
            </w:pPr>
            <w:r>
              <w:rPr>
                <w:rFonts w:ascii="Arial" w:hAnsi="Arial"/>
                <w:b w:val="0"/>
                <w:sz w:val="18"/>
              </w:rPr>
              <w:t>MI_FACT_MC_CSEP (+ MI_AUD_F2_CSEP_MULTAS)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¿Qué se descargó de las 31 OD?</w:t>
            </w:r>
          </w:p>
        </w:tc>
        <w:tc>
          <w:tcPr>
            <w:tcW w:w="4320" w:type="dxa"/>
          </w:tcPr>
          <w:p>
            <w:pPr>
              <w:spacing w:after="0" w:line="240" w:lineRule="auto"/>
            </w:pPr>
            <w:r>
              <w:rPr>
                <w:rFonts w:ascii="Arial" w:hAnsi="Arial"/>
                <w:b w:val="0"/>
                <w:sz w:val="18"/>
              </w:rPr>
              <w:t>MI_FACT_MC_OD (+ MI_AUD_F1_OD_MULTAS)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¿Qué contiene el núcleo SISUD?</w:t>
            </w:r>
          </w:p>
        </w:tc>
        <w:tc>
          <w:tcPr>
            <w:tcW w:w="4320" w:type="dxa"/>
          </w:tcPr>
          <w:p>
            <w:pPr>
              <w:spacing w:after="0" w:line="240" w:lineRule="auto"/>
            </w:pPr>
            <w:r>
              <w:rPr>
                <w:rFonts w:ascii="Arial" w:hAnsi="Arial"/>
                <w:b w:val="0"/>
                <w:sz w:val="18"/>
              </w:rPr>
              <w:t>MI_FACT_MC_SISUD (+ MI_AUD_F5_SISUD_VW)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¿Cómo va el seguimiento operativo con CUM/CAM?</w:t>
            </w:r>
          </w:p>
        </w:tc>
        <w:tc>
          <w:tcPr>
            <w:tcW w:w="4320" w:type="dxa"/>
          </w:tcPr>
          <w:p>
            <w:pPr>
              <w:spacing w:after="0" w:line="240" w:lineRule="auto"/>
            </w:pPr>
            <w:r>
              <w:rPr>
                <w:rFonts w:ascii="Arial" w:hAnsi="Arial"/>
                <w:b w:val="0"/>
                <w:sz w:val="18"/>
              </w:rPr>
              <w:t>MI_FACT_MULTA_COERCITIVA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¿En qué etapa está el proyecto CSEP?</w:t>
            </w:r>
          </w:p>
        </w:tc>
        <w:tc>
          <w:tcPr>
            <w:tcW w:w="4320" w:type="dxa"/>
          </w:tcPr>
          <w:p>
            <w:pPr>
              <w:spacing w:after="0" w:line="240" w:lineRule="auto"/>
            </w:pPr>
            <w:r>
              <w:rPr>
                <w:rFonts w:ascii="Arial" w:hAnsi="Arial"/>
                <w:b w:val="0"/>
                <w:sz w:val="18"/>
              </w:rPr>
              <w:t>MI_DET_ETAPA_MC (+ MI_AUD_F2_CSEP_ETAPAS)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¿Por qué unidad CSEP / por qué OD?</w:t>
            </w:r>
          </w:p>
        </w:tc>
        <w:tc>
          <w:tcPr>
            <w:tcW w:w="4320" w:type="dxa"/>
          </w:tcPr>
          <w:p>
            <w:pPr>
              <w:spacing w:after="0" w:line="240" w:lineRule="auto"/>
            </w:pPr>
            <w:r>
              <w:rPr>
                <w:rFonts w:ascii="Arial" w:hAnsi="Arial"/>
                <w:b w:val="0"/>
                <w:sz w:val="18"/>
              </w:rPr>
              <w:t>Hecho + MI_DIM_ORGANO_UNIDAD / MI_DIM_OD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¿Cómo corto por periodo?</w:t>
            </w:r>
          </w:p>
        </w:tc>
        <w:tc>
          <w:tcPr>
            <w:tcW w:w="4320" w:type="dxa"/>
          </w:tcPr>
          <w:p>
            <w:pPr>
              <w:spacing w:after="0" w:line="240" w:lineRule="auto"/>
            </w:pPr>
            <w:r>
              <w:rPr>
                <w:rFonts w:ascii="Arial" w:hAnsi="Arial"/>
                <w:b w:val="0"/>
                <w:sz w:val="18"/>
              </w:rPr>
              <w:t>Hecho + MI_DIM_TIEMPO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rPr>
                <w:rFonts w:ascii="Arial" w:hAnsi="Arial"/>
                <w:b w:val="0"/>
                <w:sz w:val="18"/>
              </w:rPr>
              <w:t>¿Cómo demuestro la extracción ante auditoría?</w:t>
            </w:r>
          </w:p>
        </w:tc>
        <w:tc>
          <w:tcPr>
            <w:tcW w:w="4320" w:type="dxa"/>
          </w:tcPr>
          <w:p>
            <w:pPr>
              <w:spacing w:after="0" w:line="240" w:lineRule="auto"/>
            </w:pPr>
            <w:r>
              <w:rPr>
                <w:rFonts w:ascii="Arial" w:hAnsi="Arial"/>
                <w:b w:val="0"/>
                <w:sz w:val="18"/>
              </w:rPr>
              <w:t>MI_AUD_*</w:t>
            </w:r>
          </w:p>
        </w:tc>
      </w:tr>
    </w:tbl>
    <w:p/>
    <w:p>
      <w:pPr>
        <w:spacing w:before="240" w:after="120"/>
      </w:pPr>
      <w:r>
        <w:rPr>
          <w:rFonts w:ascii="Arial" w:hAnsi="Arial"/>
          <w:b/>
          <w:sz w:val="24"/>
        </w:rPr>
        <w:t>24. Alcance de publicación en Oracle (clarificación)</w:t>
      </w:r>
    </w:p>
    <w:p>
      <w:pPr>
        <w:spacing w:after="120"/>
        <w:ind w:firstLine="425"/>
        <w:jc w:val="both"/>
      </w:pPr>
      <w:r>
        <w:rPr>
          <w:rFonts w:ascii="Arial" w:hAnsi="Arial"/>
          <w:b w:val="0"/>
          <w:sz w:val="22"/>
        </w:rPr>
        <w:t>Se publican: las 8 dimensiones MI_DIM_*, los 3 hechos de evidencia, el hecho de negocio MI_FACT_MULTA_COERCITIVA, el detalle MI_DET_ETAPA_MC y las 4 tablas MI_AUD_*. Cada corrida realiza un wipe canónico de objetos MI_* / VW_* previos y republica este conjunto.</w:t>
      </w:r>
    </w:p>
    <w:p>
      <w:pPr>
        <w:spacing w:after="120"/>
        <w:ind w:firstLine="425"/>
        <w:jc w:val="both"/>
      </w:pPr>
      <w:r>
        <w:rPr>
          <w:rFonts w:ascii="Arial" w:hAnsi="Arial"/>
          <w:b w:val="0"/>
          <w:sz w:val="22"/>
        </w:rPr>
        <w:t>No se publican como tablas de destino: MI_DQ_HALLAZGO, MI_QA_AMARRE(+DETALLE) ni MI_INDICADOR_RESULTADO (K1–K5). Tampoco se materializan vistas VW_MC_* en el esquema final: la consulta se realiza directamente sobre MI_FACT_*. Los scripts históricos 03/04/06 permanecen como documentación TDR, pero no forman parte de la carga runtime.</w:t>
      </w:r>
    </w:p>
    <w:p>
      <w:pPr>
        <w:spacing w:after="120"/>
        <w:ind w:firstLine="425"/>
        <w:jc w:val="both"/>
      </w:pPr>
      <w:r>
        <w:rPr>
          <w:rFonts w:ascii="Arial" w:hAnsi="Arial"/>
          <w:b w:val="0"/>
          <w:sz w:val="22"/>
        </w:rPr>
        <w:t>Respecto del control de coherencia de fechas (Cuadro 4), la inconsistencia se marca en la corrida ETL mediante la regla R03 (vencimiento coherente con notificación/firma): se registra hallazgo y se marca la fila como no conforme (FG_CONFORME = N), sin eliminar el registro. Ese hallazgo es evidencia de control de la corrida; no constituye una tabla publicada adicional en el esquema canónico de Oracle.</w:t>
      </w:r>
    </w:p>
    <w:p>
      <w:pPr>
        <w:spacing w:before="240" w:after="120"/>
      </w:pPr>
      <w:r>
        <w:rPr>
          <w:rFonts w:ascii="Arial" w:hAnsi="Arial"/>
          <w:b/>
          <w:sz w:val="24"/>
        </w:rPr>
        <w:t>25. Síntesis para el lector del Segundo Entregable</w:t>
      </w:r>
    </w:p>
    <w:p>
      <w:pPr>
        <w:spacing w:after="120"/>
        <w:ind w:firstLine="425"/>
        <w:jc w:val="both"/>
      </w:pPr>
      <w:r>
        <w:rPr>
          <w:rFonts w:ascii="Arial" w:hAnsi="Arial"/>
          <w:b w:val="0"/>
          <w:sz w:val="22"/>
        </w:rPr>
        <w:t>En resumen: (i) se descargan 31 planillas OD y 10 planillas CSEP, más la vista SISUD; (ii) cada universo tiene su evidencia y su foto de auditoría; (iii) el hecho de negocio crece en vertical con las planillas y en horizontal con CUM/CAM de SISUD; (iv) cada tabla MI_* tiene un rol explícito de consulta, linaje o respaldo; y (v) el modelo queda listo para el Tercer Entregable sin confundir conteos entre universos.</w:t>
      </w:r>
    </w:p>
    <w:p>
      <w:pPr>
        <w:spacing w:before="240" w:after="120"/>
      </w:pPr>
      <w:r>
        <w:rPr>
          <w:rFonts w:ascii="Arial" w:hAnsi="Arial"/>
          <w:b/>
          <w:sz w:val="24"/>
        </w:rPr>
        <w:t>26. Cadena de creación de tablas (de la fuente al Oracle)</w:t>
      </w:r>
    </w:p>
    <w:p>
      <w:pPr>
        <w:spacing w:after="120"/>
        <w:ind w:firstLine="425"/>
        <w:jc w:val="both"/>
      </w:pPr>
      <w:r>
        <w:rPr>
          <w:rFonts w:ascii="Arial" w:hAnsi="Arial"/>
          <w:b w:val="0"/>
          <w:sz w:val="22"/>
        </w:rPr>
        <w:t>Para cerrar la lectura del modelo, conviene explicitar el recorrido completo de creación de objetos. Primero, Apache Hop descarga las 31 planillas OD, las 10 planillas CSEP (multas y etapas) y la vista SISUD hacia tablas de staging en H2 (STG_GS2_OD_MULTAS, STG_GS1_CSEP_MULTAS, STG_GS1_ETAPAS, STG_ORA_VW_MULTA_COERCITIVA). Segundo, Python tipifica, homologa y construye dimensiones, hechos de evidencia y detalle. Tercero, la carga a Oracle publica el esquema canónico (wipe de MI_*/VW_* previos, DDL de dimensiones y hechos, inserción, enrich SQL 07) y, a continuación, materializa las cuatro tablas MI_AUD_* como fotografía cruda.</w:t>
      </w:r>
    </w:p>
    <w:p>
      <w:pPr>
        <w:spacing w:after="120"/>
        <w:ind w:firstLine="425"/>
        <w:jc w:val="both"/>
        <w:rPr>
          <w:rFonts w:ascii="Arial" w:hAnsi="Arial"/>
          <w:b w:val="0"/>
          <w:sz w:val="22"/>
        </w:rPr>
      </w:pPr>
      <w:r>
        <w:rPr>
          <w:rFonts w:ascii="Arial" w:hAnsi="Arial"/>
          <w:b w:val="0"/>
          <w:sz w:val="22"/>
        </w:rPr>
        <w:t>Esta cadena explica por qué existen tablas “parecidas” con roles distintos: el staging es operativo de corrida; la evidencia es el hecho dimensional por universo; el negocio es la base de gestión enriquecida; y la auditoría es el respaldo 1:1 para defensa de cifras. Confundir estas capas produce lecturas incorrectas de volumen y de responsabilidad de la información.</w:t>
      </w: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before="240" w:after="120"/>
      </w:pPr>
      <w:r>
        <w:rPr>
          <w:rFonts w:ascii="Arial" w:hAnsi="Arial"/>
          <w:b/>
          <w:sz w:val="24"/>
        </w:rPr>
        <w:t>Cuadro 11. De fuente a tabla publicada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2737"/>
        <w:gridCol w:w="1652"/>
        <w:gridCol w:w="2139"/>
        <w:gridCol w:w="2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rPr>
                <w:rFonts w:ascii="Arial" w:hAnsi="Arial"/>
                <w:b/>
                <w:sz w:val="20"/>
              </w:rPr>
              <w:t>Fuente</w:t>
            </w:r>
          </w:p>
        </w:tc>
        <w:tc>
          <w:tcPr>
            <w:tcW w:w="1728" w:type="dxa"/>
          </w:tcPr>
          <w:p>
            <w:pPr>
              <w:spacing w:after="0" w:line="240" w:lineRule="auto"/>
            </w:pPr>
            <w:r>
              <w:rPr>
                <w:rFonts w:ascii="Arial" w:hAnsi="Arial"/>
                <w:b/>
                <w:sz w:val="20"/>
              </w:rPr>
              <w:t>Staging</w:t>
            </w:r>
          </w:p>
        </w:tc>
        <w:tc>
          <w:tcPr>
            <w:tcW w:w="1728" w:type="dxa"/>
          </w:tcPr>
          <w:p>
            <w:pPr>
              <w:spacing w:after="0" w:line="240" w:lineRule="auto"/>
            </w:pPr>
            <w:r>
              <w:rPr>
                <w:rFonts w:ascii="Arial" w:hAnsi="Arial"/>
                <w:b/>
                <w:sz w:val="20"/>
              </w:rPr>
              <w:t>Evidencia / detalle</w:t>
            </w:r>
          </w:p>
        </w:tc>
        <w:tc>
          <w:tcPr>
            <w:tcW w:w="1728" w:type="dxa"/>
          </w:tcPr>
          <w:p>
            <w:pPr>
              <w:spacing w:after="0" w:line="240" w:lineRule="auto"/>
            </w:pPr>
            <w:r>
              <w:rPr>
                <w:rFonts w:ascii="Arial" w:hAnsi="Arial"/>
                <w:b/>
                <w:sz w:val="20"/>
              </w:rPr>
              <w:t>Auditoría</w:t>
            </w:r>
          </w:p>
        </w:tc>
        <w:tc>
          <w:tcPr>
            <w:tcW w:w="1728" w:type="dxa"/>
          </w:tcPr>
          <w:p>
            <w:pPr>
              <w:spacing w:after="0" w:line="240" w:lineRule="auto"/>
            </w:pPr>
            <w:r>
              <w:rPr>
                <w:rFonts w:ascii="Arial" w:hAnsi="Arial"/>
                <w:b/>
                <w:sz w:val="20"/>
              </w:rPr>
              <w:t>Negocio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rPr>
                <w:rFonts w:ascii="Arial" w:hAnsi="Arial"/>
                <w:b w:val="0"/>
                <w:sz w:val="18"/>
              </w:rPr>
              <w:t>31 OD (F1)</w:t>
            </w:r>
          </w:p>
        </w:tc>
        <w:tc>
          <w:tcPr>
            <w:tcW w:w="1728" w:type="dxa"/>
          </w:tcPr>
          <w:p>
            <w:pPr>
              <w:spacing w:after="0" w:line="240" w:lineRule="auto"/>
            </w:pPr>
            <w:r>
              <w:rPr>
                <w:rFonts w:ascii="Arial" w:hAnsi="Arial"/>
                <w:b w:val="0"/>
                <w:sz w:val="18"/>
              </w:rPr>
              <w:t>STG_GS2_OD_MULTAS</w:t>
            </w:r>
          </w:p>
        </w:tc>
        <w:tc>
          <w:tcPr>
            <w:tcW w:w="1728" w:type="dxa"/>
          </w:tcPr>
          <w:p>
            <w:pPr>
              <w:spacing w:after="0" w:line="240" w:lineRule="auto"/>
            </w:pPr>
            <w:r>
              <w:rPr>
                <w:rFonts w:ascii="Arial" w:hAnsi="Arial"/>
                <w:b w:val="0"/>
                <w:sz w:val="18"/>
              </w:rPr>
              <w:t>MI_FACT_MC_OD</w:t>
            </w:r>
          </w:p>
        </w:tc>
        <w:tc>
          <w:tcPr>
            <w:tcW w:w="1728" w:type="dxa"/>
          </w:tcPr>
          <w:p>
            <w:pPr>
              <w:spacing w:after="0" w:line="240" w:lineRule="auto"/>
            </w:pPr>
            <w:r>
              <w:rPr>
                <w:rFonts w:ascii="Arial" w:hAnsi="Arial"/>
                <w:b w:val="0"/>
                <w:sz w:val="18"/>
              </w:rPr>
              <w:t>MI_AUD_F1_OD_MULTAS</w:t>
            </w:r>
          </w:p>
        </w:tc>
        <w:tc>
          <w:tcPr>
            <w:tcW w:w="1728" w:type="dxa"/>
          </w:tcPr>
          <w:p>
            <w:pPr>
              <w:spacing w:after="0" w:line="240" w:lineRule="auto"/>
            </w:pPr>
            <w:r>
              <w:rPr>
                <w:rFonts w:ascii="Arial" w:hAnsi="Arial"/>
                <w:b w:val="0"/>
                <w:sz w:val="18"/>
              </w:rPr>
              <w:t>Parte de MI_FACT_MULTA_COERCITIVA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rPr>
                <w:rFonts w:ascii="Arial" w:hAnsi="Arial"/>
                <w:b w:val="0"/>
                <w:sz w:val="18"/>
              </w:rPr>
              <w:t>10 CSEP multas (F2)</w:t>
            </w:r>
          </w:p>
        </w:tc>
        <w:tc>
          <w:tcPr>
            <w:tcW w:w="1728" w:type="dxa"/>
          </w:tcPr>
          <w:p>
            <w:pPr>
              <w:spacing w:after="0" w:line="240" w:lineRule="auto"/>
            </w:pPr>
            <w:r>
              <w:rPr>
                <w:rFonts w:ascii="Arial" w:hAnsi="Arial"/>
                <w:b w:val="0"/>
                <w:sz w:val="18"/>
              </w:rPr>
              <w:t>STG_GS1_CSEP_MULTAS</w:t>
            </w:r>
          </w:p>
        </w:tc>
        <w:tc>
          <w:tcPr>
            <w:tcW w:w="1728" w:type="dxa"/>
          </w:tcPr>
          <w:p>
            <w:pPr>
              <w:spacing w:after="0" w:line="240" w:lineRule="auto"/>
            </w:pPr>
            <w:r>
              <w:rPr>
                <w:rFonts w:ascii="Arial" w:hAnsi="Arial"/>
                <w:b w:val="0"/>
                <w:sz w:val="18"/>
              </w:rPr>
              <w:t>MI_FACT_MC_CSEP</w:t>
            </w:r>
          </w:p>
        </w:tc>
        <w:tc>
          <w:tcPr>
            <w:tcW w:w="1728" w:type="dxa"/>
          </w:tcPr>
          <w:p>
            <w:pPr>
              <w:spacing w:after="0" w:line="240" w:lineRule="auto"/>
            </w:pPr>
            <w:r>
              <w:rPr>
                <w:rFonts w:ascii="Arial" w:hAnsi="Arial"/>
                <w:b w:val="0"/>
                <w:sz w:val="18"/>
              </w:rPr>
              <w:t>MI_AUD_F2_CSEP_MULTAS</w:t>
            </w:r>
          </w:p>
        </w:tc>
        <w:tc>
          <w:tcPr>
            <w:tcW w:w="1728" w:type="dxa"/>
          </w:tcPr>
          <w:p>
            <w:pPr>
              <w:spacing w:after="0" w:line="240" w:lineRule="auto"/>
            </w:pPr>
            <w:r>
              <w:rPr>
                <w:rFonts w:ascii="Arial" w:hAnsi="Arial"/>
                <w:b w:val="0"/>
                <w:sz w:val="18"/>
              </w:rPr>
              <w:t>Parte de MI_FACT_MULTA_COERCITIVA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rPr>
                <w:rFonts w:ascii="Arial" w:hAnsi="Arial"/>
                <w:b w:val="0"/>
                <w:sz w:val="18"/>
              </w:rPr>
              <w:t>10 CSEP etapas</w:t>
            </w:r>
          </w:p>
        </w:tc>
        <w:tc>
          <w:tcPr>
            <w:tcW w:w="1728" w:type="dxa"/>
          </w:tcPr>
          <w:p>
            <w:pPr>
              <w:spacing w:after="0" w:line="240" w:lineRule="auto"/>
            </w:pPr>
            <w:r>
              <w:rPr>
                <w:rFonts w:ascii="Arial" w:hAnsi="Arial"/>
                <w:b w:val="0"/>
                <w:sz w:val="18"/>
              </w:rPr>
              <w:t>STG_GS1_ETAPAS</w:t>
            </w:r>
          </w:p>
        </w:tc>
        <w:tc>
          <w:tcPr>
            <w:tcW w:w="1728" w:type="dxa"/>
          </w:tcPr>
          <w:p>
            <w:pPr>
              <w:spacing w:after="0" w:line="240" w:lineRule="auto"/>
            </w:pPr>
            <w:r>
              <w:rPr>
                <w:rFonts w:ascii="Arial" w:hAnsi="Arial"/>
                <w:b w:val="0"/>
                <w:sz w:val="18"/>
              </w:rPr>
              <w:t>MI_DET_ETAPA_MC</w:t>
            </w:r>
          </w:p>
        </w:tc>
        <w:tc>
          <w:tcPr>
            <w:tcW w:w="1728" w:type="dxa"/>
          </w:tcPr>
          <w:p>
            <w:pPr>
              <w:spacing w:after="0" w:line="240" w:lineRule="auto"/>
            </w:pPr>
            <w:r>
              <w:rPr>
                <w:rFonts w:ascii="Arial" w:hAnsi="Arial"/>
                <w:b w:val="0"/>
                <w:sz w:val="18"/>
              </w:rPr>
              <w:t>MI_AUD_F2_CSEP_ETAPAS</w:t>
            </w:r>
          </w:p>
        </w:tc>
        <w:tc>
          <w:tcPr>
            <w:tcW w:w="1728" w:type="dxa"/>
          </w:tcPr>
          <w:p>
            <w:pPr>
              <w:spacing w:after="0" w:line="240" w:lineRule="auto"/>
            </w:pPr>
            <w:r>
              <w:rPr>
                <w:rFonts w:ascii="Arial" w:hAnsi="Arial"/>
                <w:b w:val="0"/>
                <w:sz w:val="18"/>
              </w:rPr>
              <w:t>Complemento operativo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rPr>
                <w:rFonts w:ascii="Arial" w:hAnsi="Arial"/>
                <w:b w:val="0"/>
                <w:sz w:val="18"/>
              </w:rPr>
              <w:t>SISUD (F5)</w:t>
            </w:r>
          </w:p>
        </w:tc>
        <w:tc>
          <w:tcPr>
            <w:tcW w:w="1728" w:type="dxa"/>
          </w:tcPr>
          <w:p>
            <w:pPr>
              <w:spacing w:after="0" w:line="240" w:lineRule="auto"/>
            </w:pPr>
            <w:r>
              <w:rPr>
                <w:rFonts w:ascii="Arial" w:hAnsi="Arial"/>
                <w:b w:val="0"/>
                <w:sz w:val="18"/>
              </w:rPr>
              <w:t>STG_ORA_VW_MULTA_COERCITIVA</w:t>
            </w:r>
          </w:p>
        </w:tc>
        <w:tc>
          <w:tcPr>
            <w:tcW w:w="1728" w:type="dxa"/>
          </w:tcPr>
          <w:p>
            <w:pPr>
              <w:spacing w:after="0" w:line="240" w:lineRule="auto"/>
            </w:pPr>
            <w:r>
              <w:rPr>
                <w:rFonts w:ascii="Arial" w:hAnsi="Arial"/>
                <w:b w:val="0"/>
                <w:sz w:val="18"/>
              </w:rPr>
              <w:t>MI_FACT_MC_SISUD</w:t>
            </w:r>
          </w:p>
        </w:tc>
        <w:tc>
          <w:tcPr>
            <w:tcW w:w="1728" w:type="dxa"/>
          </w:tcPr>
          <w:p>
            <w:pPr>
              <w:spacing w:after="0" w:line="240" w:lineRule="auto"/>
            </w:pPr>
            <w:r>
              <w:rPr>
                <w:rFonts w:ascii="Arial" w:hAnsi="Arial"/>
                <w:b w:val="0"/>
                <w:sz w:val="18"/>
              </w:rPr>
              <w:t>MI_AUD_F5_SISUD_VW</w:t>
            </w:r>
          </w:p>
        </w:tc>
        <w:tc>
          <w:tcPr>
            <w:tcW w:w="1728" w:type="dxa"/>
          </w:tcPr>
          <w:p>
            <w:pPr>
              <w:spacing w:after="0" w:line="240" w:lineRule="auto"/>
            </w:pPr>
            <w:r>
              <w:rPr>
                <w:rFonts w:ascii="Arial" w:hAnsi="Arial"/>
                <w:b w:val="0"/>
                <w:sz w:val="18"/>
              </w:rPr>
              <w:t>Lookup CUM/CAM (horizontal)</w:t>
            </w:r>
          </w:p>
        </w:tc>
      </w:tr>
    </w:tbl>
    <w:p/>
    <w:p>
      <w:pPr>
        <w:spacing w:before="240" w:after="120"/>
      </w:pPr>
      <w:r>
        <w:rPr>
          <w:rFonts w:ascii="Arial" w:hAnsi="Arial"/>
          <w:b/>
          <w:sz w:val="24"/>
        </w:rPr>
        <w:t>27. Ejemplo de uso por tipo de pregunta</w:t>
      </w:r>
    </w:p>
    <w:p>
      <w:pPr>
        <w:spacing w:after="120"/>
        <w:ind w:firstLine="425"/>
        <w:jc w:val="both"/>
      </w:pPr>
      <w:r>
        <w:rPr>
          <w:rFonts w:ascii="Arial" w:hAnsi="Arial"/>
          <w:b w:val="0"/>
          <w:sz w:val="22"/>
        </w:rPr>
        <w:t>Si la CSEP pregunta cuántas multas de Minería están en seguimiento operativo, la ruta correcta es MI_FACT_MC_CSEP o MI_FACT_MULTA_COERCITIVA filtrada por MI_DIM_ORGANO_UNIDAD = CMIN, sin sumar OD ni SISUD. Si una OD (por ejemplo, Ica o Puno) pregunta por su cartera territorial, la ruta es MI_FACT_MC_OD o el hecho de negocio filtrado por MI_DIM_OD. Si el área requiere el código institucional CUM/CAM, se usa el hecho de negocio y se observa si el enrich horizontal completó esos campos; la ausencia de CUM/CAM no elimina la multa de planilla, solo indica que aún no hay correspondencia con el núcleo.</w:t>
      </w:r>
    </w:p>
    <w:p>
      <w:pPr>
        <w:spacing w:before="240" w:after="120"/>
        <w:rPr>
          <w:rFonts w:ascii="Arial" w:hAnsi="Arial"/>
          <w:b w:val="0"/>
          <w:sz w:val="22"/>
        </w:rPr>
      </w:pPr>
      <w:r>
        <w:rPr>
          <w:rFonts w:ascii="Arial" w:hAnsi="Arial"/>
          <w:b w:val="0"/>
          <w:sz w:val="22"/>
        </w:rPr>
        <w:t>Si la observación es de auditoría (“¿exactamente qué se descargó el día de la corrida?”), la ruta es MI_AUD_*. Si la observación es de contraste institucional (“¿qué registra SISUD?”), la ruta es MI_FACT_MC_SISUD o MI_AUD_F5_SISUD_VW. De este modo, cada tabla evita que una sola consulta pretenda responder preguntas de naturaleza distinta.</w:t>
      </w:r>
    </w:p>
    <w:p>
      <w:pPr>
        <w:spacing w:before="240" w:after="120"/>
      </w:pPr>
      <w:r>
        <w:rPr>
          <w:rFonts w:ascii="Arial" w:hAnsi="Arial"/>
          <w:b/>
          <w:sz w:val="24"/>
        </w:rPr>
        <w:t>29. Lectura recomendada para no confundir las 10 CSEP con las 31 OD</w:t>
      </w:r>
    </w:p>
    <w:p>
      <w:pPr>
        <w:spacing w:after="120"/>
        <w:ind w:firstLine="425"/>
        <w:jc w:val="both"/>
      </w:pPr>
      <w:r>
        <w:rPr>
          <w:rFonts w:ascii="Arial" w:hAnsi="Arial"/>
          <w:b w:val="0"/>
          <w:sz w:val="22"/>
        </w:rPr>
        <w:t>Una fuente frecuente de confusión en reportes resumidos es citar “las 10 planillas” como si representaran toda la descarga. En este servicio existen dos familias de planillas Google Sheets: diez (10) del universo CSEP y treinta y una (31) del universo OD. Ambas son vigentes, ambas se descargan, ambas generan evidencia y auditoría, y ambas alimentan el hecho de negocio. La diferencia es territorial/sectorial: CSEP se corta por unidad (MI_DIM_ORGANO_UNIDAD) y OD por oficina (MI_DIM_OD).</w:t>
      </w:r>
    </w:p>
    <w:p>
      <w:pPr>
        <w:spacing w:after="120"/>
        <w:ind w:firstLine="425"/>
        <w:jc w:val="both"/>
        <w:rPr>
          <w:rFonts w:ascii="Arial" w:hAnsi="Arial"/>
          <w:b w:val="0"/>
          <w:sz w:val="22"/>
        </w:rPr>
      </w:pPr>
      <w:r>
        <w:rPr>
          <w:rFonts w:ascii="Arial" w:hAnsi="Arial"/>
          <w:b w:val="0"/>
          <w:sz w:val="22"/>
        </w:rPr>
        <w:t>Por ello, cualquier cuadro de cobertura del Segundo Entregable debe mencionar ambas magnitudes. Omitir las 31 OD subdeclara el alcance territorial del modelo y debilita la trazabilidad frente a las oficinas desconcentradas que sí aportan información a MI_FACT_MC_OD y a MI_FACT_MULTA_COERCITIVA.</w:t>
      </w: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after="120"/>
        <w:ind w:firstLine="425"/>
        <w:jc w:val="both"/>
        <w:rPr>
          <w:rFonts w:ascii="Arial" w:hAnsi="Arial"/>
          <w:b w:val="0"/>
          <w:sz w:val="22"/>
        </w:rPr>
      </w:pPr>
    </w:p>
    <w:p>
      <w:pPr>
        <w:spacing w:before="200" w:after="160" w:line="276" w:lineRule="auto"/>
        <w:jc w:val="left"/>
      </w:pPr>
      <w:r>
        <w:rPr>
          <w:rFonts w:ascii="Arial" w:hAnsi="Arial" w:eastAsia="Arial"/>
          <w:b/>
          <w:sz w:val="24"/>
        </w:rPr>
        <w:t>III. CONCLUSIONES</w:t>
      </w:r>
    </w:p>
    <w:p>
      <w:pPr>
        <w:spacing w:before="0" w:after="120" w:line="276" w:lineRule="auto"/>
        <w:jc w:val="both"/>
      </w:pPr>
      <w:r>
        <w:rPr>
          <w:rFonts w:ascii="Arial" w:hAnsi="Arial" w:eastAsia="Arial"/>
          <w:b w:val="0"/>
          <w:sz w:val="22"/>
        </w:rPr>
        <w:t>17. Se depuraron y estandarizaron las bases de multas coercitivas (F1 OD, F2 CSEP y F5 SISUD), aplicando organización de variables, homologación de estados, uniformización de formatos y tratamiento de observaciones, materializando productos de evidencia, negocio enriquecido, etapas y auditoría.</w:t>
      </w:r>
    </w:p>
    <w:p>
      <w:pPr>
        <w:spacing w:before="0" w:after="120" w:line="276" w:lineRule="auto"/>
        <w:jc w:val="both"/>
      </w:pPr>
      <w:r>
        <w:rPr>
          <w:rFonts w:ascii="Arial" w:hAnsi="Arial" w:eastAsia="Arial"/>
          <w:b w:val="0"/>
          <w:sz w:val="22"/>
        </w:rPr>
        <w:t>18. Se aplicaron controles de aseguramiento de la calidad con trazabilidad de extremo a extremo (fuente → extracción → auditoría → evidencia → base final), marcando hallazgos sin eliminar registros y evitando el doble conteo entre universos.</w:t>
      </w:r>
    </w:p>
    <w:p>
      <w:pPr>
        <w:spacing w:before="0" w:after="120" w:line="276" w:lineRule="auto"/>
        <w:jc w:val="both"/>
      </w:pPr>
      <w:r>
        <w:rPr>
          <w:rFonts w:ascii="Arial" w:hAnsi="Arial" w:eastAsia="Arial"/>
          <w:b w:val="0"/>
          <w:sz w:val="22"/>
        </w:rPr>
        <w:t>19. Se procesó y estructuró la información en un modelo analítico que ya permite responder preguntas de gestión sobre volúmenes, montos, plazos, territorio y correspondencia institucional, e identificar avances, brechas y oportunidades de mejora como insumo del análisis de efectividad.</w:t>
      </w:r>
    </w:p>
    <w:p>
      <w:pPr>
        <w:spacing w:before="0" w:after="120" w:line="276" w:lineRule="auto"/>
        <w:jc w:val="both"/>
        <w:rPr>
          <w:rFonts w:ascii="Arial" w:hAnsi="Arial" w:eastAsia="Arial"/>
          <w:b w:val="0"/>
          <w:sz w:val="22"/>
        </w:rPr>
      </w:pPr>
      <w:r>
        <w:rPr>
          <w:rFonts w:ascii="Arial" w:hAnsi="Arial" w:eastAsia="Arial"/>
          <w:b w:val="0"/>
          <w:sz w:val="22"/>
        </w:rPr>
        <w:t>20. El Segundo Entregable deja disponibles bases finales validadas de multas coercitivas, con linaje y auditoría, aptas para la elaboración de cuadros, gráficos y hallazgos del Tercer Entregable.</w:t>
      </w: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0" w:after="120" w:line="276" w:lineRule="auto"/>
        <w:jc w:val="both"/>
        <w:rPr>
          <w:rFonts w:ascii="Arial" w:hAnsi="Arial" w:eastAsia="Arial"/>
          <w:b w:val="0"/>
          <w:sz w:val="22"/>
        </w:rPr>
      </w:pPr>
    </w:p>
    <w:p>
      <w:pPr>
        <w:spacing w:before="200" w:after="160" w:line="276" w:lineRule="auto"/>
        <w:jc w:val="left"/>
      </w:pPr>
      <w:r>
        <w:rPr>
          <w:rFonts w:ascii="Arial" w:hAnsi="Arial" w:eastAsia="Arial"/>
          <w:b/>
          <w:sz w:val="24"/>
        </w:rPr>
        <w:t>IV. ANEXOS</w:t>
      </w:r>
    </w:p>
    <w:p>
      <w:pPr>
        <w:spacing w:before="0" w:after="120" w:line="276" w:lineRule="auto"/>
        <w:jc w:val="left"/>
      </w:pPr>
      <w:r>
        <w:rPr>
          <w:rFonts w:ascii="Arial" w:hAnsi="Arial" w:eastAsia="Arial"/>
          <w:b/>
          <w:sz w:val="22"/>
        </w:rPr>
        <w:t>Actividad d)</w:t>
      </w:r>
    </w:p>
    <w:p>
      <w:pPr>
        <w:spacing w:before="0" w:after="120" w:line="276" w:lineRule="auto"/>
        <w:jc w:val="left"/>
      </w:pPr>
      <w:r>
        <w:rPr>
          <w:rFonts w:ascii="Arial" w:hAnsi="Arial" w:eastAsia="Arial"/>
          <w:b w:val="0"/>
          <w:sz w:val="22"/>
        </w:rPr>
        <w:t>Depurar y estandarizar las bases de datos de multas coercitivas.</w:t>
      </w:r>
    </w:p>
    <w:p>
      <w:pPr>
        <w:spacing w:before="0" w:after="120" w:line="276" w:lineRule="auto"/>
        <w:jc w:val="left"/>
      </w:pPr>
      <w:r>
        <w:rPr>
          <w:rFonts w:ascii="Arial" w:hAnsi="Arial" w:eastAsia="Arial"/>
          <w:b w:val="0"/>
          <w:sz w:val="22"/>
        </w:rPr>
        <w:t>· Anexo D-1: Depuración, estandarización y homologación de bases de multas coercitivas.docx</w:t>
      </w:r>
    </w:p>
    <w:p>
      <w:pPr>
        <w:spacing w:before="0" w:after="120" w:line="276" w:lineRule="auto"/>
        <w:jc w:val="both"/>
      </w:pPr>
    </w:p>
    <w:p>
      <w:pPr>
        <w:spacing w:before="0" w:after="120" w:line="276" w:lineRule="auto"/>
        <w:jc w:val="left"/>
      </w:pPr>
      <w:r>
        <w:rPr>
          <w:rFonts w:ascii="Arial" w:hAnsi="Arial" w:eastAsia="Arial"/>
          <w:b/>
          <w:sz w:val="22"/>
        </w:rPr>
        <w:t>Actividad e)</w:t>
      </w:r>
    </w:p>
    <w:p>
      <w:pPr>
        <w:spacing w:before="0" w:after="120" w:line="276" w:lineRule="auto"/>
        <w:jc w:val="left"/>
      </w:pPr>
      <w:r>
        <w:rPr>
          <w:rFonts w:ascii="Arial" w:hAnsi="Arial" w:eastAsia="Arial"/>
          <w:b w:val="0"/>
          <w:sz w:val="22"/>
        </w:rPr>
        <w:t>Aplicar controles de aseguramiento de la calidad y trazabilidad.</w:t>
      </w:r>
    </w:p>
    <w:p>
      <w:pPr>
        <w:spacing w:before="0" w:after="120" w:line="276" w:lineRule="auto"/>
        <w:jc w:val="left"/>
      </w:pPr>
      <w:r>
        <w:rPr>
          <w:rFonts w:ascii="Arial" w:hAnsi="Arial" w:eastAsia="Arial"/>
          <w:b w:val="0"/>
          <w:sz w:val="22"/>
        </w:rPr>
        <w:t>· Anexo E-</w:t>
      </w:r>
      <w:r>
        <w:rPr>
          <w:rFonts w:hint="default" w:ascii="Arial" w:hAnsi="Arial" w:eastAsia="Arial"/>
          <w:b w:val="0"/>
          <w:sz w:val="22"/>
          <w:lang/>
        </w:rPr>
        <w:t>1</w:t>
      </w:r>
      <w:r>
        <w:rPr>
          <w:rFonts w:ascii="Arial" w:hAnsi="Arial" w:eastAsia="Arial"/>
          <w:b w:val="0"/>
          <w:sz w:val="22"/>
        </w:rPr>
        <w:t>: Evidencias de auditoría y volúmenes por universo (Carpeta)</w:t>
      </w:r>
    </w:p>
    <w:p>
      <w:pPr>
        <w:spacing w:before="0" w:after="120" w:line="276" w:lineRule="auto"/>
        <w:jc w:val="both"/>
      </w:pPr>
    </w:p>
    <w:p>
      <w:pPr>
        <w:spacing w:before="0" w:after="120" w:line="276" w:lineRule="auto"/>
        <w:jc w:val="left"/>
      </w:pPr>
      <w:r>
        <w:rPr>
          <w:rFonts w:ascii="Arial" w:hAnsi="Arial" w:eastAsia="Arial"/>
          <w:b/>
          <w:sz w:val="22"/>
        </w:rPr>
        <w:t>Actividad f)</w:t>
      </w:r>
    </w:p>
    <w:p>
      <w:pPr>
        <w:spacing w:before="0" w:after="120" w:line="276" w:lineRule="auto"/>
        <w:jc w:val="left"/>
      </w:pPr>
      <w:r>
        <w:rPr>
          <w:rFonts w:ascii="Arial" w:hAnsi="Arial" w:eastAsia="Arial"/>
          <w:b w:val="0"/>
          <w:sz w:val="22"/>
        </w:rPr>
        <w:t>Procesar y analizar la información sistematizada de multas coercitivas.</w:t>
      </w:r>
    </w:p>
    <w:p>
      <w:pPr>
        <w:spacing w:before="0" w:after="120" w:line="276" w:lineRule="auto"/>
        <w:jc w:val="left"/>
      </w:pPr>
      <w:r>
        <w:rPr>
          <w:rFonts w:ascii="Arial" w:hAnsi="Arial" w:eastAsia="Arial"/>
          <w:b w:val="0"/>
          <w:sz w:val="22"/>
        </w:rPr>
        <w:t>· Anexo F-1: Procesamiento analítico del modelo de multas coercitivas.docx</w:t>
      </w:r>
      <w:r>
        <w:rPr>
          <w:rFonts w:ascii="Arial" w:hAnsi="Arial" w:eastAsia="Arial"/>
          <w:b w:val="0"/>
          <w:sz w:val="22"/>
        </w:rPr>
        <w:br w:type="textWrapping"/>
      </w:r>
      <w:r>
        <w:rPr>
          <w:rFonts w:ascii="Arial" w:hAnsi="Arial" w:eastAsia="Arial"/>
          <w:b w:val="0"/>
          <w:sz w:val="22"/>
        </w:rPr>
        <w:t xml:space="preserve">· Anexo F-2: Diccionario funcional de tablas del modelo (31 OD + 10 CSEP) </w:t>
      </w:r>
    </w:p>
    <w:p>
      <w:pPr>
        <w:spacing w:before="0" w:after="120" w:line="276" w:lineRule="auto"/>
        <w:jc w:val="both"/>
      </w:pPr>
    </w:p>
    <w:p>
      <w:pPr>
        <w:spacing w:before="0" w:after="120" w:line="276" w:lineRule="auto"/>
        <w:jc w:val="left"/>
      </w:pPr>
      <w:r>
        <w:rPr>
          <w:rFonts w:ascii="Arial" w:hAnsi="Arial" w:eastAsia="Arial"/>
          <w:b w:val="0"/>
          <w:sz w:val="22"/>
        </w:rPr>
        <w:t>Es cuanto informo a usted, para los fines pertinentes.</w:t>
      </w:r>
    </w:p>
    <w:p>
      <w:pPr>
        <w:spacing w:before="0" w:after="120" w:line="276" w:lineRule="auto"/>
        <w:jc w:val="both"/>
      </w:pPr>
    </w:p>
    <w:p>
      <w:pPr>
        <w:spacing w:before="0" w:after="120" w:line="276" w:lineRule="auto"/>
        <w:jc w:val="both"/>
      </w:pPr>
    </w:p>
    <w:p>
      <w:pPr>
        <w:spacing w:before="0" w:after="120" w:line="276" w:lineRule="auto"/>
        <w:jc w:val="both"/>
      </w:pPr>
    </w:p>
    <w:p>
      <w:pPr>
        <w:spacing w:before="0" w:after="120" w:line="276" w:lineRule="auto"/>
        <w:jc w:val="both"/>
      </w:pPr>
      <w:bookmarkStart w:id="0" w:name="_GoBack"/>
      <w:bookmarkEnd w:id="0"/>
    </w:p>
    <w:p>
      <w:pPr>
        <w:spacing w:before="0" w:after="120" w:line="276" w:lineRule="auto"/>
        <w:jc w:val="center"/>
      </w:pPr>
      <w:r>
        <w:rPr>
          <w:rFonts w:ascii="Arial" w:hAnsi="Arial" w:eastAsia="Arial"/>
          <w:b w:val="0"/>
          <w:sz w:val="22"/>
        </w:rPr>
        <w:t>________________________________</w:t>
      </w:r>
    </w:p>
    <w:p>
      <w:pPr>
        <w:spacing w:before="0" w:after="120" w:line="276" w:lineRule="auto"/>
        <w:jc w:val="center"/>
      </w:pPr>
      <w:r>
        <w:rPr>
          <w:rFonts w:ascii="Arial" w:hAnsi="Arial" w:eastAsia="Arial"/>
          <w:b/>
          <w:sz w:val="22"/>
        </w:rPr>
        <w:t>EDER OSWALDO ORTEGA GONZALES</w:t>
      </w:r>
    </w:p>
    <w:p>
      <w:pPr>
        <w:spacing w:before="0" w:after="120" w:line="276" w:lineRule="auto"/>
        <w:jc w:val="center"/>
      </w:pPr>
      <w:r>
        <w:rPr>
          <w:rFonts w:ascii="Arial" w:hAnsi="Arial" w:eastAsia="Arial"/>
          <w:b w:val="0"/>
          <w:sz w:val="22"/>
        </w:rPr>
        <w:t>DNI: 42202029</w:t>
      </w:r>
    </w:p>
    <w:p>
      <w:pPr>
        <w:spacing w:before="0" w:after="120" w:line="276" w:lineRule="auto"/>
        <w:jc w:val="center"/>
      </w:pPr>
      <w:r>
        <w:rPr>
          <w:rFonts w:ascii="Arial" w:hAnsi="Arial" w:eastAsia="Arial"/>
          <w:b w:val="0"/>
          <w:sz w:val="22"/>
        </w:rPr>
        <w:t>RUC: 10422020298</w:t>
      </w:r>
    </w:p>
    <w:p>
      <w:pPr>
        <w:spacing w:before="0" w:after="120" w:line="276" w:lineRule="auto"/>
        <w:jc w:val="center"/>
      </w:pPr>
      <w:r>
        <w:rPr>
          <w:rFonts w:ascii="Arial" w:hAnsi="Arial" w:eastAsia="Arial"/>
          <w:b w:val="0"/>
          <w:sz w:val="22"/>
        </w:rPr>
        <w:t>Atentamente.</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AF87E4"/>
    <w:rsid w:val="77F7652B"/>
    <w:rsid w:val="7FFD0D2E"/>
    <w:rsid w:val="EEFF74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eder</cp:lastModifiedBy>
  <dcterms:modified xsi:type="dcterms:W3CDTF">2026-09-09T11:32:54Z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