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 w:before="0" w:line="276" w:lineRule="auto"/>
        <w:jc w:val="center"/>
      </w:pPr>
      <w:r>
        <w:rPr>
          <w:rFonts w:ascii="Arial" w:hAnsi="Arial" w:eastAsia="Arial"/>
          <w:b/>
          <w:sz w:val="24"/>
        </w:rPr>
        <w:t>Anexo D-1. Depuración, estandarización y homologación de bases de multas coercitivas</w:t>
      </w:r>
    </w:p>
    <w:p>
      <w:pPr>
        <w:spacing w:after="120" w:before="0" w:line="276" w:lineRule="auto"/>
        <w:jc w:val="both"/>
      </w:pPr>
      <w:r>
        <w:rPr>
          <w:rFonts w:ascii="Arial" w:hAnsi="Arial" w:eastAsia="Arial"/>
          <w:b w:val="0"/>
          <w:sz w:val="22"/>
        </w:rPr>
        <w:t>Este anexo sustenta la Actividad d) del Segundo Entregable. Describe, en lenguaje de negocio, los criterios aplicados para depurar y estandarizar las bases de multas coercitivas.</w:t>
      </w:r>
    </w:p>
    <w:p>
      <w:pPr>
        <w:spacing w:after="120" w:before="0" w:line="276" w:lineRule="auto"/>
        <w:jc w:val="left"/>
      </w:pPr>
      <w:r>
        <w:rPr>
          <w:rFonts w:ascii="Arial" w:hAnsi="Arial" w:eastAsia="Arial"/>
          <w:b/>
          <w:sz w:val="22"/>
        </w:rPr>
        <w:t>1. Alcance</w:t>
      </w:r>
    </w:p>
    <w:p>
      <w:pPr>
        <w:spacing w:after="120" w:before="0" w:line="276" w:lineRule="auto"/>
        <w:jc w:val="both"/>
      </w:pPr>
      <w:r>
        <w:rPr>
          <w:rFonts w:ascii="Arial" w:hAnsi="Arial" w:eastAsia="Arial"/>
          <w:b w:val="0"/>
          <w:sz w:val="22"/>
        </w:rPr>
        <w:t>Universos vigentes: F1 (Sheets OD), F2 (Sheets CSEP + etapas) y F5 (vista institucional SISUD). No se incorporan fuentes auxiliares de cobertura reducida.</w:t>
      </w:r>
    </w:p>
    <w:p>
      <w:pPr>
        <w:spacing w:after="120" w:before="0" w:line="276" w:lineRule="auto"/>
        <w:jc w:val="left"/>
      </w:pPr>
      <w:r>
        <w:rPr>
          <w:rFonts w:ascii="Arial" w:hAnsi="Arial" w:eastAsia="Arial"/>
          <w:b/>
          <w:sz w:val="22"/>
        </w:rPr>
        <w:t>2. Organización de variables</w:t>
      </w:r>
    </w:p>
    <w:p>
      <w:pPr>
        <w:spacing w:after="120" w:before="0" w:line="276" w:lineRule="auto"/>
        <w:jc w:val="both"/>
      </w:pPr>
      <w:r>
        <w:rPr>
          <w:rFonts w:ascii="Arial" w:hAnsi="Arial" w:eastAsia="Arial"/>
          <w:b w:val="0"/>
          <w:sz w:val="22"/>
        </w:rPr>
        <w:t>Cada fuente se tipifica a un diccionario común: códigos de medida, resolución, montos UIT/soles, fechas del ciclo, estados, administrado y territorio (unidad CSEP u oficina OD).</w:t>
      </w:r>
    </w:p>
    <w:p>
      <w:pPr>
        <w:spacing w:after="120" w:before="0" w:line="276" w:lineRule="auto"/>
        <w:jc w:val="left"/>
      </w:pPr>
      <w:r>
        <w:rPr>
          <w:rFonts w:ascii="Arial" w:hAnsi="Arial" w:eastAsia="Arial"/>
          <w:b/>
          <w:sz w:val="22"/>
        </w:rPr>
        <w:t>3. Homologación de categorías</w:t>
      </w:r>
    </w:p>
    <w:p>
      <w:pPr>
        <w:spacing w:after="120" w:before="0" w:line="276" w:lineRule="auto"/>
        <w:jc w:val="both"/>
      </w:pPr>
      <w:r>
        <w:rPr>
          <w:rFonts w:ascii="Arial" w:hAnsi="Arial" w:eastAsia="Arial"/>
          <w:b w:val="0"/>
          <w:sz w:val="22"/>
        </w:rPr>
        <w:t>Los estados de multa, pago y resolución se alinean a un catálogo único, de modo que los cortes analíticos no dependan de la redacción libre de cada planilla.</w:t>
      </w:r>
    </w:p>
    <w:p>
      <w:pPr>
        <w:spacing w:after="120" w:before="0" w:line="276" w:lineRule="auto"/>
        <w:jc w:val="left"/>
      </w:pPr>
      <w:r>
        <w:rPr>
          <w:rFonts w:ascii="Arial" w:hAnsi="Arial" w:eastAsia="Arial"/>
          <w:b/>
          <w:sz w:val="22"/>
        </w:rPr>
        <w:t>4. Uniformización y tratamiento de observaciones</w:t>
      </w:r>
    </w:p>
    <w:p>
      <w:pPr>
        <w:spacing w:after="120" w:before="0" w:line="276" w:lineRule="auto"/>
        <w:jc w:val="both"/>
      </w:pPr>
      <w:r>
        <w:rPr>
          <w:rFonts w:ascii="Arial" w:hAnsi="Arial" w:eastAsia="Arial"/>
          <w:b w:val="0"/>
          <w:sz w:val="22"/>
        </w:rPr>
        <w:t>Se normalizan fechas, textos y variantes de numeración. Las observaciones (valores anómalos, celdas de error) se tratan conservando la fila de origen para no perder información.</w:t>
      </w:r>
    </w:p>
    <w:p>
      <w:pPr>
        <w:spacing w:after="120" w:before="0" w:line="276" w:lineRule="auto"/>
        <w:jc w:val="left"/>
      </w:pPr>
      <w:r>
        <w:rPr>
          <w:rFonts w:ascii="Arial" w:hAnsi="Arial" w:eastAsia="Arial"/>
          <w:b/>
          <w:sz w:val="22"/>
        </w:rPr>
        <w:t>5. Resultado</w:t>
      </w:r>
    </w:p>
    <w:p>
      <w:pPr>
        <w:spacing w:after="120" w:before="0" w:line="276" w:lineRule="auto"/>
        <w:jc w:val="both"/>
      </w:pPr>
      <w:r>
        <w:rPr>
          <w:rFonts w:ascii="Arial" w:hAnsi="Arial" w:eastAsia="Arial"/>
          <w:b w:val="0"/>
          <w:sz w:val="22"/>
        </w:rPr>
        <w:t>Quedan disponibles: evidencias por universo, hecho de negocio enriquecido (planilla + CUM/CAM cuando hay correspondencia), detalle de etapas y capa de auditoría.</w:t>
      </w:r>
    </w:p>
    <w:p>
      <w:pPr>
        <w:spacing w:after="120" w:before="0" w:line="276" w:lineRule="auto"/>
        <w:jc w:val="left"/>
      </w:pPr>
      <w:r>
        <w:rPr>
          <w:rFonts w:ascii="Arial" w:hAnsi="Arial" w:eastAsia="Arial"/>
          <w:b/>
          <w:sz w:val="20"/>
        </w:rPr>
        <w:t>Cuadro D-1. Ejemplos de estandarización de campos.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D9E2F3" w:val="clear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8"/>
              </w:rPr>
              <w:t>Campo de negocio</w:t>
            </w:r>
          </w:p>
        </w:tc>
        <w:tc>
          <w:tcPr>
            <w:tcW w:type="dxa" w:w="3135"/>
            <w:shd w:fill="D9E2F3" w:val="clear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8"/>
              </w:rPr>
              <w:t>Ejemplo de origen</w:t>
            </w:r>
          </w:p>
        </w:tc>
        <w:tc>
          <w:tcPr>
            <w:tcW w:type="dxa" w:w="3135"/>
            <w:shd w:fill="D9E2F3" w:val="clear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8"/>
              </w:rPr>
              <w:t>Campo estandarizado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Monto UIT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MULTA_UIT (planilla)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MONTO_UIT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Monto soles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MULTA_S (planilla)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MONTO_S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Resolución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N_RES_MC / RESOLUCION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N_RES_MC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Estado multa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ESTADO_MC / ESTADO_MULTA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Catálogo de estado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Territorio CSEP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COORD / unidad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Órgano / unidad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Territorio OD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COD_OD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Oficina desconcentrada</w:t>
            </w:r>
          </w:p>
        </w:tc>
      </w:tr>
    </w:tbl>
    <w:p/>
    <w:p>
      <w:pPr>
        <w:spacing w:before="240" w:after="120"/>
      </w:pPr>
      <w:r>
        <w:rPr>
          <w:rFonts w:ascii="Arial" w:hAnsi="Arial"/>
          <w:b/>
          <w:sz w:val="24"/>
        </w:rPr>
        <w:t>6. Precisión de cobertura de planillas</w:t>
      </w:r>
    </w:p>
    <w:p>
      <w:pPr>
        <w:spacing w:after="120"/>
        <w:ind w:firstLine="425"/>
        <w:jc w:val="both"/>
      </w:pPr>
      <w:r>
        <w:rPr>
          <w:rFonts w:ascii="Arial" w:hAnsi="Arial"/>
          <w:b w:val="0"/>
          <w:sz w:val="22"/>
        </w:rPr>
        <w:t>La depuración y estandarización del Segundo Entregable contemplan dos familias de planillas Google Sheets: treinta y una (31) oficinas desconcentradas (F1) y diez (10) unidades CSEP (F2), además de la vista institucional SISUD (F5). No debe interpretarse que el alcance se reduce a las 10 unidades CSEP.</w:t>
      </w:r>
    </w:p>
    <w:p>
      <w:pPr>
        <w:spacing w:after="120"/>
        <w:ind w:firstLine="425"/>
        <w:jc w:val="both"/>
      </w:pPr>
      <w:r>
        <w:rPr>
          <w:rFonts w:ascii="Arial" w:hAnsi="Arial"/>
          <w:b w:val="0"/>
          <w:sz w:val="22"/>
        </w:rPr>
        <w:t>El resultado depurado se materializa en dimensiones, hechos de evidencia (CSEP/OD/SISUD), hecho de negocio enriquecido, detalle de etapas y tablas de auditoría. El detalle funcional de cada tabla se desarrolla en el Anexo F-2 y en los numerales 21–29 del Informe N° 002-2026-EOOG.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