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76" w:lineRule="auto"/>
        <w:jc w:val="center"/>
      </w:pPr>
      <w:r>
        <w:rPr>
          <w:rFonts w:ascii="Arial" w:hAnsi="Arial" w:eastAsia="Arial"/>
          <w:b/>
          <w:sz w:val="24"/>
        </w:rPr>
        <w:t>Anexo E-2. Evidencias de auditoría y volúmenes por universo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Este anexo sustenta la Actividad e) del Segundo Entregable. Resume las evidencias de auditoría, los órdenes de magnitud por universo y el inventario de tablas publicadas, para contrastar la trazabilidad entre la fuente original, la extracción y las bases finales validadas.</w:t>
      </w:r>
    </w:p>
    <w:p>
      <w:pPr>
        <w:spacing w:after="120" w:before="200" w:line="276" w:lineRule="auto"/>
        <w:jc w:val="left"/>
      </w:pPr>
      <w:r>
        <w:rPr>
          <w:rFonts w:ascii="Arial" w:hAnsi="Arial" w:eastAsia="Arial"/>
          <w:b/>
          <w:sz w:val="22"/>
        </w:rPr>
        <w:t>1. Evidencias a conservar en esta carpeta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Conteos por universo (CSEP / OD / SISUD) y hecho de negocio.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Evidencia de tablas de auditoría (foto cruda alineada al staging).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Ejemplo de hallazgo de calidad marcado (sin eliminar fila).</w:t>
      </w:r>
    </w:p>
    <w:p>
      <w:pPr>
        <w:spacing w:after="120" w:before="200" w:line="276" w:lineRule="auto"/>
        <w:jc w:val="left"/>
      </w:pPr>
      <w:r>
        <w:rPr>
          <w:rFonts w:ascii="Arial" w:hAnsi="Arial" w:eastAsia="Arial"/>
          <w:b/>
          <w:sz w:val="22"/>
        </w:rPr>
        <w:t>2. Órdenes de magnitud de referencia (Informe 002)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0"/>
        </w:rPr>
        <w:t>Cuadro E2-1. Volúmenes de referencia por producto.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Producto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Orden de magnitud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Observación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Evidencia CSEP (F2)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≈ 990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10 planillas CSEP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Evidencia OD (F1)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≈ 280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31 planillas OD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Evidencia SISUD (F5)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≈ 530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Vista institucional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Hecho de negocio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≈ 1 270</w:t>
            </w:r>
          </w:p>
        </w:tc>
        <w:tc>
          <w:tcPr>
            <w:tcW w:type="dxa" w:w="3135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Planillas + lookup CUM/CAM</w:t>
            </w:r>
          </w:p>
        </w:tc>
      </w:tr>
    </w:tbl>
    <w:p/>
    <w:p>
      <w:pPr>
        <w:spacing w:after="120" w:before="200" w:line="276" w:lineRule="auto"/>
        <w:jc w:val="left"/>
      </w:pPr>
      <w:r>
        <w:rPr>
          <w:rFonts w:ascii="Arial" w:hAnsi="Arial" w:eastAsia="Arial"/>
          <w:b/>
          <w:sz w:val="22"/>
        </w:rPr>
        <w:t>3. Cobertura de descarga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F1 — 31 oficinas desconcentradas (Google Sheets) → STG_GS2_OD_MULTAS → MI_FACT_MC_OD / MI_AUD_F1_OD_MULTAS.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0"/>
        </w:rPr>
        <w:t>Códigos: AMAZONAS, ANCASH, APURIMAC, AREQUIPA, AYACUCHO, CAJAMARCA, CHIMBOTE, CORACORA, COTABAMBAS, CUSCO, ESPINAR, HUANCAVELICA, HUANUCO, ICA, JUNIN, LAMBAYEQUE, LA_CONVENCION, LA_LIBERTAD, LORETO, MADRE_DE_DIOS, MOQUEGUA, PASCO, PICHANAKI, PIURA, PUNO, SAN_MARTIN, TACNA, TALARA, TUMBES, UCAYALI, VRAEM.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F2 — 10 unidades CSEP (Google Sheets multas + etapas) → STG_GS1_* → MI_FACT_MC_CSEP / MI_DET_ETAPA_MC / MI_AUD_F2_*.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0"/>
        </w:rPr>
        <w:t>Códigos: CMIN, CHID, CELE, CIND, CPES, CAGR, CRES, CCAM, UFED, UFSAVC.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F5 — vista SISUD → STG_ORA_VW_MULTA_COERCITIVA → MI_FACT_MC_SISUD / MI_AUD_F5_SISUD_VW.</w:t>
      </w:r>
    </w:p>
    <w:p>
      <w:pPr>
        <w:spacing w:after="120" w:before="200" w:line="276" w:lineRule="auto"/>
        <w:jc w:val="left"/>
      </w:pPr>
      <w:r>
        <w:rPr>
          <w:rFonts w:ascii="Arial" w:hAnsi="Arial" w:eastAsia="Arial"/>
          <w:b/>
          <w:sz w:val="22"/>
        </w:rPr>
        <w:t>4. Dimensiones (catálogos de consulta)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0"/>
        </w:rPr>
        <w:t>Cuadro E2-2. Dimensiones publicadas y para qué sirven.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Tabla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Para qué sirve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MI_DIM_FUENTE_REGISTRO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Identifica el universo de cada fila (linaje; evita sumar universos distintos).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MI_DIM_ORGANO_UNIDAD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Catálogo de las 10 unidades CSEP (+ ND). Agrupa multas F2.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MI_DIM_OD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Catálogo de oficinas desconcentradas (31 planillas F1). Agrupa multas F1.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MI_DIM_ADMINISTRADO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Catálogo de administrados. Consulta por sujeto fiscalizado.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MI_DIM_ESTADO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Catálogo reusable de estados (resolución, multa y pago).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MI_DIM_TIEMPO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Calendario para cortes por día, mes, trimestre y año.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MI_DIM_PARAMETRO_UIT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UIT anual. Contextualiza montos UIT / soles.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MI_DIM_MATERIA_SUBSECTOR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Clasificación por materia o subsector cuando existe.</w:t>
            </w:r>
          </w:p>
        </w:tc>
      </w:tr>
    </w:tbl>
    <w:p/>
    <w:p>
      <w:pPr>
        <w:spacing w:after="120" w:before="200" w:line="276" w:lineRule="auto"/>
        <w:jc w:val="left"/>
      </w:pPr>
      <w:r>
        <w:rPr>
          <w:rFonts w:ascii="Arial" w:hAnsi="Arial" w:eastAsia="Arial"/>
          <w:b/>
          <w:sz w:val="22"/>
        </w:rPr>
        <w:t>5. Hechos de evidencia y hecho de negocio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0"/>
        </w:rPr>
        <w:t>Cuadro E2-3. Hechos publicados.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Tabla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MI_FACT_MC_CSEP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Una fila por multa de las 10 hojas CSEP. Evidencia F2.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MI_FACT_MC_OD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Una fila por multa de las 31 hojas OD. Evidencia F1.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MI_FACT_MC_SISUD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Una fila por multa de la vista SISUD. Evidencia F5.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MI_FACT_MULTA_COERCITIVA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Consolida CSEP + OD y enriquece con SISUD (resolución + monto UIT). Tabla principal de gestión.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MI_DET_ETAPA_MC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Una fila por etapa asociada a una multa CSEP. Drill-down operativo.</w:t>
            </w:r>
          </w:p>
        </w:tc>
      </w:tr>
    </w:tbl>
    <w:p/>
    <w:p>
      <w:pPr>
        <w:spacing w:after="120" w:before="200" w:line="276" w:lineRule="auto"/>
        <w:jc w:val="left"/>
      </w:pPr>
      <w:r>
        <w:rPr>
          <w:rFonts w:ascii="Arial" w:hAnsi="Arial" w:eastAsia="Arial"/>
          <w:b/>
          <w:sz w:val="22"/>
        </w:rPr>
        <w:t>6. Tablas de auditoría (foto cruda 1:1)</w:t>
      </w:r>
    </w:p>
    <w:p>
      <w:pPr>
        <w:spacing w:after="120" w:before="0" w:line="276" w:lineRule="auto"/>
        <w:jc w:val="left"/>
      </w:pPr>
      <w:r>
        <w:rPr>
          <w:rFonts w:ascii="Arial" w:hAnsi="Arial" w:eastAsia="Arial"/>
          <w:b/>
          <w:sz w:val="20"/>
        </w:rPr>
        <w:t>Cuadro E2-4. Auditoría publicada.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Tabla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Arial" w:hAnsi="Arial" w:eastAsia="Arial"/>
                <w:b/>
                <w:sz w:val="18"/>
              </w:rPr>
              <w:t>Contenido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MI_AUD_F2_CSEP_MULTAS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Copia 1:1 del staging de multas CSEP (10 planillas).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MI_AUD_F2_CSEP_ETAPAS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Copia 1:1 del staging de etapas CSEP.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MI_AUD_F1_OD_MULTAS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Copia 1:1 del staging de multas OD (31 planillas).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MI_AUD_F5_SISUD_VW</w:t>
            </w:r>
          </w:p>
        </w:tc>
        <w:tc>
          <w:tcPr>
            <w:tcW w:type="dxa" w:w="4703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Copia 1:1 del staging de SISUD.</w:t>
            </w:r>
          </w:p>
        </w:tc>
      </w:tr>
    </w:tbl>
    <w:p/>
    <w:p>
      <w:pPr>
        <w:spacing w:after="120" w:before="200" w:line="276" w:lineRule="auto"/>
        <w:jc w:val="left"/>
      </w:pPr>
      <w:r>
        <w:rPr>
          <w:rFonts w:ascii="Arial" w:hAnsi="Arial" w:eastAsia="Arial"/>
          <w:b/>
          <w:sz w:val="22"/>
        </w:rPr>
        <w:t>7. Alcance de publicación en Oracle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Se publican dimensiones, hechos, detalle y auditoría.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No se publican tablas DQ, QA ni indicadores K en Oracle; se calculan en la corrida ETL.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Los scripts 03, 04 y 06 quedan como histórico documental; no forman parte de la carga runtime.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No hay vistas VW_MC_* en el destino: se consulta directo MI_FACT_*.</w:t>
      </w:r>
    </w:p>
    <w:p>
      <w:pPr>
        <w:spacing w:after="120" w:before="200" w:line="276" w:lineRule="auto"/>
        <w:jc w:val="left"/>
      </w:pPr>
      <w:r>
        <w:rPr>
          <w:rFonts w:ascii="Arial" w:hAnsi="Arial" w:eastAsia="Arial"/>
          <w:b/>
          <w:sz w:val="22"/>
        </w:rPr>
        <w:t>8. Lógica de crecimiento vertical y horizontal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Vertical: más filas cuando crecen las 31 OD y/o las 10 CSEP → crecen evidencias y MI_FACT_MULTA_COERCITIVA.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Horizontal: misma fila completa CUM/CAM cuando hay match en SISUD (resolución + monto UIT).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Regla: Sheet manda. SISUD no agrega filas solo-institucionales al hecho final.</w:t>
      </w:r>
    </w:p>
    <w:p>
      <w:pPr>
        <w:spacing w:after="60" w:before="0" w:line="276" w:lineRule="auto"/>
        <w:jc w:val="left"/>
      </w:pPr>
      <w:r>
        <w:rPr>
          <w:rFonts w:ascii="Arial" w:hAnsi="Arial" w:eastAsia="Arial"/>
          <w:b w:val="0"/>
          <w:sz w:val="22"/>
        </w:rPr>
        <w:t>• Conteos: negocio ≈ CSEP + OD (no CSEP + OD + SISUD).</w:t>
      </w:r>
    </w:p>
    <w:p>
      <w:pPr>
        <w:spacing w:after="120" w:before="200" w:line="276" w:lineRule="auto"/>
        <w:jc w:val="left"/>
      </w:pPr>
      <w:r>
        <w:rPr>
          <w:rFonts w:ascii="Arial" w:hAnsi="Arial" w:eastAsia="Arial"/>
          <w:b/>
          <w:sz w:val="22"/>
        </w:rPr>
        <w:t>9. Control de coherencia de fechas (R03)</w:t>
      </w:r>
    </w:p>
    <w:p>
      <w:pPr>
        <w:spacing w:after="120" w:before="0" w:line="276" w:lineRule="auto"/>
        <w:jc w:val="both"/>
      </w:pPr>
      <w:r>
        <w:rPr>
          <w:rFonts w:ascii="Arial" w:hAnsi="Arial" w:eastAsia="Arial"/>
          <w:b w:val="0"/>
          <w:sz w:val="22"/>
        </w:rPr>
        <w:t>Si F_VENC_DCG &lt; F_NOTIF_DCG o F_VENC_MC &lt; F_FIRMA_RES_MC, se marca inconsistencia en hallazgo R03 y FG_CONFORME = N (sin eliminar la fila).</w:t>
      </w:r>
    </w:p>
    <w:p>
      <w:pPr>
        <w:spacing w:after="120" w:before="160" w:line="276" w:lineRule="auto"/>
        <w:jc w:val="both"/>
      </w:pPr>
      <w:r>
        <w:rPr>
          <w:rFonts w:ascii="Arial" w:hAnsi="Arial" w:eastAsia="Arial"/>
          <w:b w:val="0"/>
          <w:sz w:val="20"/>
        </w:rPr>
        <w:t>Nota: esta carpeta puede complementarse con capturas o listados de conteos de la corrida vigente, manteniendo el presente documento como índice descriptivo del Anexo E-2.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