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sz w:val="24"/>
        </w:rPr>
        <w:t>Anexo F-1. Procesamiento analítico del modelo de multas coercitivas</w:t>
      </w:r>
    </w:p>
    <w:p>
      <w:pPr>
        <w:spacing w:before="0" w:after="120" w:line="276" w:lineRule="auto"/>
        <w:jc w:val="both"/>
      </w:pPr>
      <w:r>
        <w:rPr>
          <w:rFonts w:ascii="Arial" w:hAnsi="Arial" w:eastAsia="Arial"/>
          <w:b w:val="0"/>
          <w:sz w:val="22"/>
        </w:rPr>
        <w:t>Este anexo sustenta la Actividad f) del Segundo Entregable. Describe el procesamiento analítico disponible para evaluar la información de multas coercitivas.</w:t>
      </w:r>
    </w:p>
    <w:p>
      <w:pPr>
        <w:spacing w:before="0" w:after="120" w:line="276" w:lineRule="auto"/>
        <w:jc w:val="left"/>
      </w:pPr>
      <w:r>
        <w:rPr>
          <w:rFonts w:ascii="Arial" w:hAnsi="Arial" w:eastAsia="Arial"/>
          <w:b/>
          <w:sz w:val="22"/>
        </w:rPr>
        <w:t>1. Modelo resultante</w:t>
      </w:r>
    </w:p>
    <w:p>
      <w:pPr>
        <w:spacing w:before="0" w:after="120" w:line="276" w:lineRule="auto"/>
        <w:jc w:val="both"/>
      </w:pPr>
      <w:r>
        <w:rPr>
          <w:rFonts w:ascii="Arial" w:hAnsi="Arial" w:eastAsia="Arial"/>
          <w:b w:val="0"/>
          <w:sz w:val="22"/>
        </w:rPr>
        <w:t>Se dispone de un modelo dimensional de multas con dimensiones de fuente, territorio (10 unidades CSEP y 31 oficinas OD), administrado, estado, tiempo y parámetro UIT; hechos de evidencia por universo; hecho de negocio enriquecido; y detalle de etapas.</w:t>
      </w:r>
    </w:p>
    <w:p>
      <w:pPr>
        <w:spacing w:before="0" w:after="120" w:line="276" w:lineRule="auto"/>
        <w:jc w:val="left"/>
      </w:pPr>
      <w:r>
        <w:rPr>
          <w:rFonts w:ascii="Arial" w:hAnsi="Arial" w:eastAsia="Arial"/>
          <w:b/>
          <w:sz w:val="22"/>
        </w:rPr>
        <w:t>2. Técnicas aplicadas</w:t>
      </w:r>
    </w:p>
    <w:p>
      <w:pPr>
        <w:spacing w:before="0" w:after="120" w:line="276" w:lineRule="auto"/>
        <w:jc w:val="both"/>
      </w:pPr>
      <w:r>
        <w:rPr>
          <w:rFonts w:ascii="Arial" w:hAnsi="Arial" w:eastAsia="Arial"/>
          <w:b w:val="0"/>
          <w:sz w:val="22"/>
        </w:rPr>
        <w:t>Tipificación e integración por universo, enriquecimiento selectivo con identificadores institucionales, controles de calidad, y cortes analíticos por territorio, periodo y estado.</w:t>
      </w:r>
    </w:p>
    <w:p>
      <w:pPr>
        <w:spacing w:before="0" w:after="120" w:line="276" w:lineRule="auto"/>
        <w:jc w:val="left"/>
      </w:pPr>
      <w:r>
        <w:rPr>
          <w:rFonts w:ascii="Arial" w:hAnsi="Arial" w:eastAsia="Arial"/>
          <w:b/>
          <w:sz w:val="22"/>
        </w:rPr>
        <w:t>3. Uso recomendado</w:t>
      </w:r>
    </w:p>
    <w:p>
      <w:pPr>
        <w:spacing w:before="0" w:after="120" w:line="276" w:lineRule="auto"/>
        <w:jc w:val="both"/>
      </w:pPr>
      <w:r>
        <w:rPr>
          <w:rFonts w:ascii="Arial" w:hAnsi="Arial" w:eastAsia="Arial"/>
          <w:b w:val="0"/>
          <w:sz w:val="22"/>
        </w:rPr>
        <w:t>Definir la pregunta → elegir universo → acotar territorio/periodo → medir volúmenes, montos y plazos → contrastar con auditoría o SISUD si hace falta.</w:t>
      </w:r>
    </w:p>
    <w:p>
      <w:pPr>
        <w:spacing w:before="0" w:after="120" w:line="276" w:lineRule="auto"/>
        <w:jc w:val="left"/>
      </w:pPr>
      <w:r>
        <w:rPr>
          <w:rFonts w:ascii="Arial" w:hAnsi="Arial" w:eastAsia="Arial"/>
          <w:b/>
          <w:sz w:val="22"/>
        </w:rPr>
        <w:t>4. Avances, brechas y mejoras (síntesis)</w:t>
      </w:r>
    </w:p>
    <w:p>
      <w:pPr>
        <w:spacing w:before="0" w:after="120" w:line="276" w:lineRule="auto"/>
        <w:jc w:val="both"/>
      </w:pPr>
      <w:r>
        <w:rPr>
          <w:rFonts w:ascii="Arial" w:hAnsi="Arial" w:eastAsia="Arial"/>
          <w:b w:val="0"/>
          <w:sz w:val="22"/>
        </w:rPr>
        <w:t>Avance: cobertura de planillas y montos disponibles. Brecha: correspondencia parcial con el núcleo institucional y hallazgos marcados. Mejora: usar el hecho de negocio para seguimiento y la evidencia SISUD para contraste, sosteniendo la auditoría.</w:t>
      </w:r>
    </w:p>
    <w:p>
      <w:pPr>
        <w:spacing w:before="0" w:after="120" w:line="276" w:lineRule="auto"/>
        <w:jc w:val="left"/>
      </w:pPr>
      <w:r>
        <w:rPr>
          <w:rFonts w:ascii="Arial" w:hAnsi="Arial" w:eastAsia="Arial"/>
          <w:b/>
          <w:sz w:val="20"/>
        </w:rPr>
        <w:t>Cuadro F-1. Producto sugerido según pregunta.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Pregunta</w:t>
            </w:r>
          </w:p>
        </w:tc>
        <w:tc>
          <w:tcPr>
            <w:tcW w:w="4703" w:type="dxa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Producto sugerido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Seguimiento CSEP por unidad</w:t>
            </w:r>
          </w:p>
        </w:tc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Evidencia CSEP / hecho de negocio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t>Seguimiento OD por oficina (31 planillas)</w:t>
            </w:r>
          </w:p>
        </w:tc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Evidencia OD / hecho de negocio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Contraste institucional</w:t>
            </w:r>
          </w:p>
        </w:tc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Evidencia SISUD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Etapa del proyecto</w:t>
            </w:r>
          </w:p>
        </w:tc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Detalle de etapas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Respaldo ante observación</w:t>
            </w:r>
          </w:p>
        </w:tc>
        <w:tc>
          <w:tcPr>
            <w:tcW w:w="4703" w:type="dxa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Auditoría (foto cruda)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5. Ampliación: cobertura 31 OD / 10 CSEP y utilidad de cada tabla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 ampliación complementa el Anexo F-1 y el cuerpo del Informe 002. Detalla la cobertura nominal de fuentes y el rol de cada tabla MI_* publicada en Oracle.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21. Ampliación del alcance de fuentes: 31 OD y 10 unidades CSEP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Para evitar ambigüedad en la lectura del Segundo Entregable, se precisa que la descarga operativa de planillas no se limita a las 10 unidades CSEP. El universo F1 comprende exactamente treinta y una (31) oficinas desconcentradas, cada una con su Google Sheet activo, y el universo F2 comprende diez (10) unidades CSEP con planillas de multas y etapas. Ambos catálogos están definidos en los manifiestos institucionales del proyecto (f1_ods_sheets.json y f2_csep_sheets.json) y alimentan, respectivamente, las tablas de evidencia MI_FACT_MC_OD y MI_FACT_MC_CSEP.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El Cuadro 1 ya identifica F1 = 31 Google Sheets y F2 = 10 Google Sheets. A continuación se detalla el listado nominal, a fin de que el lector pueda contrastar la cobertura territorial y sectorial sin recurrir únicamente a la cifra agregada.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8. Las 31 oficinas desconcentradas (F1 — OD) descargadas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N.°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Código 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Nombre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AMAZONAS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Amazonas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ANCASH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Ancash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APURIMAC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Apurímac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AREQUIPA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Arequipa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AYACUCHO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Ayacucho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CAJAMARCA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Cajamarca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CHIMBOTE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Chimbote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CORACORA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Coracora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COTABAMBAS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Cotabambas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CUSCO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Cusco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ESPINAR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Espinar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HUANCAVELICA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Huancavelica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HUANUCO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Huánuco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ICA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JUNIN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Junín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LAMBAYEQUE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Lambayeque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LA_CONVENCION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 Convención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LA_LIBERTAD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 Libertad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LORETO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Loreto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MADRE_DE_DIOS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Madre de Dios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MOQUEGUA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Moquegua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PASCO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Pasco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PICHANAKI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Pichanaki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PIURA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PUNO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Puno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SAN_MARTIN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San Martín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TACNA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Tacna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TALARA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Talara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TUMBES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Tumbes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UCAYALI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Ucayali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VRAEM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VRAEM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Estas 31 planillas se consolidan en staging como STG_GS2_OD_MULTAS (con COD_OD), pasan a la evidencia MI_FACT_MC_OD y alimentan el hecho de negocio MI_FACT_MULTA_COERCITIVA. El territorio de consulta se resuelve mediante la dimensión MI_DIM_OD. La magnitud de referencia del universo F1 en la corrida vigente es del orden de ≈ 280 filas de multas.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9. Las 10 unidades CSEP (F2) descargadas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N.°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Nombre / 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CMIN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Minería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CHID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Hidrocarburos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Electricidad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CIND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Industria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CPES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Pesca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CAGR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Agricultura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CRES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Residuos Sólidos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CCAM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Consultoras Ambientales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UFED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 educación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UFSAVC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 vivienda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Estas 10 planillas se consolidan en STG_GS1_CSEP_MULTAS y STG_GS1_ETAPAS, pasan a MI_FACT_MC_CSEP y MI_DET_ETAPA_MC, y también alimentan el hecho de negocio. El territorio CSEP se consulta con MI_DIM_ORGANO_UNIDAD. Magnitud de referencia: ≈ 990 filas de multas y ≈ 2 070 filas de etapas.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 Diccionario funcional: para qué sirve cada tabla creada en Oracle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El almacén de datos publicado en Oracle (esquema de trabajo, típicamente APP en local o REPOCSEP en remoto) se organiza en cuatro familias de tablas: (i) dimensiones de consulta; (ii) hechos de evidencia por universo; (iii) hecho de negocio enriquecido y detalle de etapas; y (iv) tablas de auditoría (foto cruda). No se publican en Oracle las bitácoras DQ/QA ni los indicadores K1–K5: se calculan en la corrida ETL y quedan como control interno de la corrida. A continuación se describe, en lenguaje de negocio, la utilidad de cada objeto creado.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22.1 Dimensiones (catálogos MI_DIM_*)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MI_DIM_FUENTE_REGISTRO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universo de origen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Responde de qué fuente proviene la fila (OD_SHEETS, CAGR, SISUD_VW, etc.). Evita sumar universos distintos como un solo censo y permite filtrar linaje.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MI_DIM_ORGANO_UNIDAD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unidad CSEP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Catálogo de las 10 unidades CSEP (+ ND). Sirve para cortes de gestión del universo F2 (por ejemplo, Minería, Hidrocarburos).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oficina 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Catálogo de oficinas desconcentradas (31 planillas + miembros de apoyo). Sirve para cortes territoriales del universo F1.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MI_DIM_ADMINISTRADO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administrado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Identifica al sujeto fiscalizado. Permite agrupar o filtrar multas por administrado.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MI_DIM_ESTADO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estado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Catálogo único de estados (resolución, multa, pago). Homogeneiza el lenguaje libre de planillas para cortes comparables.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MI_DIM_TIEMPO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día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Calendario de consulta. Habilita cortes por día, mes, trimestre y año (p. ej. vía ID_TIEMPO_FIRMA).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MI_DIM_PARAMETRO_UIT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año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Valor UIT del año. Contextualiza montos y alimenta la verificación UIT↔soles.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MI_DIM_MATERIA_SUBSECTOR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materia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Clasificación temática cuando existe dato; en muchos casos permanece no especificado (-1).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Regla de uso: las dimensiones no se “suman” solas; se cruzan con hechos mediante identificadores (ID_FUENTE, ID_ORGANO, ID_OD, ID_ADMINISTRADO, ID_ESTADO_*, ID_TIEMPO_FIRMA, ID_UIT, ID_MATERIA). El valor -1 representa “NO ESPECIFICADO” y debe interpretarse como ausencia de dato, no como error de carga.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22.2 Hechos de evidencia (qué se descargó)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MI_FACT_MC_CSEP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F2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de las 10 planillas CSEP. Responde “¿qué entró desde F2?”. Es base del seguimiento CSEP y del enrich de negocio.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F1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de las 31 planillas OD. Responde “¿qué entró desde F1?”. Es base del seguimiento territorial y del enrich de negocio.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MI_FACT_MC_SISUD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F5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de la vista institucional SISUD. Responde “¿qué contiene el núcleo?” y aporta el lookup de CUM/CAM al enrich.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Estas tres tablas son universos independientes. Sus conteos (≈ 990 / ≈ 280 / ≈ 530 en la corrida de referencia) no deben sumarse para obtener un “total único de multas del OEFA”. Cada una responde a una pregunta de procedencia distinta.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22.3 Hecho de negocio y detalle operativo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MI_FACT_MULTA_COERCITIVA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de planilla + CUM/CAM si hay match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Tabla principal de consulta de gestión. Une CSEP+OD (vertical) y completa CUM/CAM desde SISUD cuando hay correspondencia por resolución normalizada + monto UIT (horizontal).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MI_DET_ETAPA_MC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etapa de multa CSEP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Drill-down del flujo interno CSEP. Permite ver avance por etapas asociado a la multa evidencia F2.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Lectura de magnitud: el hecho de negocio ≈ 1 270 filas corresponde, en la lógica vigente, a CSEP + OD (≈ 990 + ≈ 280), no a la suma de los tres hechos de evidencia. SISUD no añade filas solo-institucionales al hecho final; solo enriquece columnas cuando hay match.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22.4 Tablas de auditoría MI_AUD_* (foto cruda 1:1)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MI_AUD_F2_CSEP_MULTAS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F2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lo leído desde las 10 planillas CSEP. Respaldo ante observación o contraste con la evidencia.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MI_AUD_F2_CSEP_ETAPAS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etapas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etapas CSEP. Sustenta el detalle cargado en MI_DET_ETAPA_MC.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MI_AUD_F1_OD_MULTAS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F1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lo leído desde las 31 planillas OD. Respaldo del universo territorial.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MI_AUD_F5_SISUD_VW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F5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la vista SISUD usada en el enrich. Contraste del núcleo institucional.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Las tablas MI_AUD_* están fuera de la estrella dimensional: no se usan para indicadores de gestión agregados, sino para trazabilidad y defensa de cifras ante revisión. Su volumen debe alinearse con el staging de la misma corrida.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23. Lógica de crecimiento vertical y horizontal del modelo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Crecimiento vertical: se produce cuando aumentan las filas de multas provenientes de las planillas que gobiernan el negocio (las 31 OD y las 10 CSEP). Más planillas o más registros nuevos en F1/F2 incrementan MI_FACT_MC_OD / MI_FACT_MC_CSEP y, en consecuencia, MI_FACT_MULTA_COERCITIVA.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Crecimiento horizontal: se produce cuando una multa ya existente en planilla encuentra correspondencia en SISUD por resolución normalizada + monto UIT. No se crea una fila nueva: se completan columnas de la misma fila (típicamente CUM y CAM). Es enriquecimiento lateral.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Regla central: “Sheet manda”. SISUD es universo de contraste y de enriquecimiento, no de ampliación vertical del hecho final. Por ello, preguntar “¿cuántas multas de seguimiento hay?” se responde con CSEP, OD o el hecho de negocio; preguntar “¿qué hay en el núcleo?” se responde con MI_FACT_MC_SISUD o MI_AUD_F5_SISUD_VW.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10. Relación práctica pregunta → tabla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Pregunta de gestión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Tabla(s) a usar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¿Qué se descargó de las 10 CSEP?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MI_FACT_MC_CSEP (+ MI_AUD_F2_CSEP_MULTAS)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¿Qué se descargó de las 31 OD?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MI_FACT_MC_OD (+ MI_AUD_F1_OD_MULTAS)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¿Qué contiene el núcleo SISUD?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MI_FACT_MC_SISUD (+ MI_AUD_F5_SISUD_VW)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¿Cómo va el seguimiento operativo con CUM/CAM?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¿En qué etapa está el proyecto CSEP?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MI_DET_ETAPA_MC (+ MI_AUD_F2_CSEP_ETAPAS)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¿Por qué unidad CSEP / por qué OD?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Hecho + MI_DIM_ORGANO_UNIDAD / MI_DIM_OD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¿Cómo corto por periodo?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Hecho + MI_DIM_TIEMPO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¿Cómo demuestro la extracción ante auditoría?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MI_AUD_*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24. Alcance de publicación en Oracle (clarificación)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Se publican: las 8 dimensiones MI_DIM_*, los 3 hechos de evidencia, el hecho de negocio MI_FACT_MULTA_COERCITIVA, el detalle MI_DET_ETAPA_MC y las 4 tablas MI_AUD_*. Cada corrida realiza un wipe canónico de objetos MI_* / VW_* previos y republica este conjunto.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No se publican como tablas de destino: MI_DQ_HALLAZGO, MI_QA_AMARRE(+DETALLE) ni MI_INDICADOR_RESULTADO (K1–K5). Tampoco se materializan vistas VW_MC_* en el esquema final: la consulta se realiza directamente sobre MI_FACT_*. Los scripts históricos 03/04/06 permanecen como documentación TDR, pero no forman parte de la carga runtime.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Respecto del control de coherencia de fechas (Cuadro 4), la inconsistencia se marca en la corrida ETL mediante la regla R03 (vencimiento coherente con notificación/firma): se registra hallazgo y se marca la fila como no conforme (FG_CONFORME = N), sin eliminar el registro. Ese hallazgo es evidencia de control de la corrida; no constituye una tabla publicada adicional en el esquema canónico de Oracle.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25. Síntesis para el lector del Segundo Entregable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En resumen: (i) se descargan 31 planillas OD y 10 planillas CSEP, más la vista SISUD; (ii) cada universo tiene su evidencia y su foto de auditoría; (iii) el hecho de negocio crece en vertical con las planillas y en horizontal con CUM/CAM de SISUD; (iv) cada tabla MI_* tiene un rol explícito de consulta, linaje o respaldo; y (v) el modelo queda listo para el Tercer Entregable sin confundir conteos entre universos.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26. Cadena de creación de tablas (de la fuente al Oracle)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Para cerrar la lectura del modelo, conviene explicitar el recorrido completo de creación de objetos. Primero, Apache Hop descarga las 31 planillas OD, las 10 planillas CSEP (multas y etapas) y la vista SISUD hacia tablas de staging en H2 (STG_GS2_OD_MULTAS, STG_GS1_CSEP_MULTAS, STG_GS1_ETAPAS, STG_ORA_VW_MULTA_COERCITIVA). Segundo, Python tipifica, homologa y construye dimensiones, hechos de evidencia y detalle. Tercero, la carga a Oracle publica el esquema canónico (wipe de MI_*/VW_* previos, DDL de dimensiones y hechos, inserción, enrich SQL 07) y, a continuación, materializa las cuatro tablas MI_AUD_* como fotografía cruda.</w:t>
      </w: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  <w:r>
        <w:rPr>
          <w:rFonts w:ascii="Arial" w:hAnsi="Arial"/>
          <w:b w:val="0"/>
          <w:sz w:val="22"/>
        </w:rPr>
        <w:t>Esta cadena explica por qué existen tablas “parecidas” con roles distintos: el staging es operativo de corrida; la evidencia es el hecho dimensional por universo; el negocio es la base de gestión enriquecida; y la auditoría es el respaldo 1:1 para defensa de cifras. Confundir estas capas produce lecturas incorrectas de volumen y de responsabilidad de la información.</w:t>
      </w: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before="240" w:after="120"/>
      </w:pPr>
      <w:r>
        <w:rPr>
          <w:rFonts w:ascii="Arial" w:hAnsi="Arial"/>
          <w:b/>
          <w:sz w:val="24"/>
        </w:rPr>
        <w:t>Cuadro 11. De fuente a tabla publicada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2737"/>
        <w:gridCol w:w="1652"/>
        <w:gridCol w:w="2139"/>
        <w:gridCol w:w="2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Fuente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Staging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Evidencia / detalle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Auditoría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Negocio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31 OD (F1)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STG_GS2_OD_MULTAS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MI_FACT_MC_OD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MI_AUD_F1_OD_MULTAS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Parte de MI_FACT_MULTA_COERCITIVA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 CSEP multas (F2)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STG_GS1_CSEP_MULTAS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MI_FACT_MC_CSEP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Parte de MI_FACT_MULTA_COERCITIVA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 CSEP etapas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STG_GS1_ETAPAS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MI_DET_ETAPA_MC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MI_AUD_F2_CSEP_ETAPAS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Complemento operativo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SISUD (F5)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STG_ORA_VW_MULTA_COERCITIVA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MI_FACT_MC_SISUD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MI_AUD_F5_SISUD_VW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Lookup CUM/CAM (horizontal)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27. Ejemplo de uso por tipo de pregunta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Si la CSEP pregunta cuántas multas de Minería están en seguimiento operativo, la ruta correcta es MI_FACT_MC_CSEP o MI_FACT_MULTA_COERCITIVA filtrada por MI_DIM_ORGANO_UNIDAD = CMIN, sin sumar OD ni SISUD. Si una OD (por ejemplo, Ica o Puno) pregunta por su cartera territorial, la ruta es MI_FACT_MC_OD o el hecho de negocio filtrado por MI_DIM_OD. Si el área requiere el código institucional CUM/CAM, se usa el hecho de negocio y se observa si el enrich horizontal completó esos campos; la ausencia de CUM/CAM no elimina la multa de planilla, solo indica que aún no hay correspondencia con el núcleo.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Si la observación es de auditoría (“¿exactamente qué se descargó el día de la corrida?”), la ruta es MI_AUD_*. Si la observación es de contraste institucional (“¿qué registra SISUD?”), la ruta es MI_FACT_MC_SISUD o MI_AUD_F5_SISUD_VW. De este modo, cada tabla evita que una sola consulta pretenda responder preguntas de naturaleza distinta.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28. Controles R01–R05 y dónde se marca la inconsistencia de fechas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Los controles de calidad del Segundo Entregable se aplican en la lógica de corrida. R01 verifica completitud de llaves; R02 el formato de CUM/CAM; R03 la coherencia temporal; R04 montos UIT no negativos; y R05 la coherencia UIT↔soles. El principio es cuarentena blanda: el defecto se marca y la fila se conserva, porque la observación también es parte del entregable.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En particular, el control de “Coherencia de fechas — vencimiento coherente con notificación — Se marca inconsistencia” corresponde a la regla R03. Se evalúan dos pares: (i) F_VENC_DCG respecto de F_NOTIF_DCG; y (ii) F_VENC_MC respecto de F_FIRMA_RES_MC. Si el vencimiento es anterior al hito de referencia, se genera un hallazgo R03 y la fila queda con FG_CONFORME = N. No se borra el registro ni se altera la fecha de origen: la inconsistencia queda visible para tratamiento.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12. Dónde queda marcado cada tipo de control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Control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Qué marca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Dónde se ve en la corrida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¿Se publica como tabla Oracle canónica?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R01–R05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Hallazgo por regla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Bitácora de hallazgos de corrida + FG_CONFORME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 (control de corrida)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R03 fechas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Inconsistencia temporal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Hallazgo R03; FG_CONFORME = N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 (control de corrida)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Amarre H9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Solo izquierda / solo derecha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Resumen y detalle de amarre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 (control de corrida)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/ negocio / AUD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Datos publicados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Tablas MI_FACT_*, MI_DET_*, MI_AUD_*, MI_DIM_*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29. Lectura recomendada para no confundir las 10 CSEP con las 31 OD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Una fuente frecuente de confusión en reportes resumidos es citar “las 10 planillas” como si representaran toda la descarga. En este servicio existen dos familias de planillas Google Sheets: diez (10) del universo CSEP y treinta y una (31) del universo OD. Ambas son vigentes, ambas se descargan, ambas generan evidencia y auditoría, y ambas alimentan el hecho de negocio. La diferencia es territorial/sectorial: CSEP se corta por unidad (MI_DIM_ORGANO_UNIDAD) y OD por oficina (MI_DIM_OD).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Por ello, cualquier cuadro de cobertura del Segundo Entregable debe mencionar ambas magnitudes. Omitir las 31 OD subdeclara el alcance territorial del modelo y debilita la trazabilidad frente a las oficinas desconcentradas que sí aportan información a MI_FACT_MC_OD y a MI_FACT_MULTA_COERCITIVA.</w:t>
      </w:r>
      <w:bookmarkStart w:id="0" w:name="_GoBack"/>
      <w:bookmarkEnd w:id="0"/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lfa Slab On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lfa Slab One">
    <w:panose1 w:val="00000500000000000000"/>
    <w:charset w:val="00"/>
    <w:family w:val="auto"/>
    <w:pitch w:val="default"/>
    <w:sig w:usb0="20000007" w:usb1="00000001" w:usb2="00000000" w:usb3="00000000" w:csb0="20000193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lfa Slab On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lfa Slab On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6B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eder</cp:lastModifiedBy>
  <dcterms:modified xsi:type="dcterms:W3CDTF">2026-09-09T11:30:57Z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