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" w:after="120"/>
      </w:pPr>
      <w:r>
        <w:rPr>
          <w:rFonts w:ascii="Arial" w:hAnsi="Arial"/>
          <w:b/>
          <w:sz w:val="28"/>
        </w:rPr>
        <w:t>Anexo F-2. Diccionario funcional de tablas del modelo de multas coercitivas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Complemento del Informe N° 002-2026-EOOG. Precisa la cobertura de las 31 oficinas desconcentradas y de las 10 unidades CSEP, y describe para qué sirve cada tabla creada.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21. Ampliación del alcance de fuentes: 31 OD y 10 unidades CSEP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Para evitar ambigüedad en la lectura del Segundo Entregable, se precisa que la descarga operativa de planillas no se limita a las 10 unidades CSEP. El universo F1 comprende exactamente treinta y una (31) oficinas desconcentradas, cada una con su Google Sheet activo, y el universo F2 comprende diez (10) unidades CSEP con planillas de multas y etapas. Ambos catálogos están definidos en los manifiestos institucionales del proyecto (f1_ods_sheets.json y f2_csep_sheets.json) y alimentan, respectivamente, las tablas de evidencia MI_FACT_MC_OD y MI_FACT_MC_CSEP.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El Cuadro 1 ya identifica F1 = 31 Google Sheets y F2 = 10 Google Sheets. A continuación se detalla el listado nominal, a fin de que el lector pueda contrastar la cobertura territorial y sectorial sin recurrir únicamente a la cifra agregada.</w:t>
      </w:r>
    </w:p>
    <w:p>
      <w:pPr>
        <w:spacing w:before="240" w:after="120"/>
      </w:pPr>
      <w:r>
        <w:rPr>
          <w:rFonts w:ascii="Arial" w:hAnsi="Arial"/>
          <w:b/>
          <w:sz w:val="24"/>
        </w:rPr>
        <w:t>Cuadro 8. Las 31 oficinas desconcentradas (F1 — OD) descargadas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N.°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Código OD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Nombre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AMAZONAS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Amazonas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ANCASH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Ancash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APURIMAC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Apurímac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AREQUIPA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Arequipa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AYACUCHO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Ayacucho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CAJAMARCA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Cajamarca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CHIMBOTE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Chimbote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CORACORA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Coracora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COTABAMBAS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Cotabambas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CUSCO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Cusco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ESPINAR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Espinar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HUANCAVELICA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Huancavelica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HUANUCO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Huánuco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ICA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Ica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JUNIN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Junín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LAMBAYEQUE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Lambayeque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LA_CONVENCION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La Convención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LA_LIBERTAD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La Libertad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LORETO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Loreto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MADRE_DE_DIOS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Madre de Dios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MOQUEGUA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Moquegua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PASCO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Pasco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PICHANAKI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Pichanaki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PIURA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Piura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PUNO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Puno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SAN_MARTIN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San Martín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TACNA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Tacna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TALARA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Talara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TUMBES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Tumbes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UCAYALI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Ucayali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VRAEM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VRAEM</w:t>
            </w:r>
          </w:p>
        </w:tc>
      </w:tr>
    </w:tbl>
    <w:p/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Estas 31 planillas se consolidan en staging como STG_GS2_OD_MULTAS (con COD_OD), pasan a la evidencia MI_FACT_MC_OD y alimentan el hecho de negocio MI_FACT_MULTA_COERCITIVA. El territorio de consulta se resuelve mediante la dimensión MI_DIM_OD. La magnitud de referencia del universo F1 en la corrida vigente es del orden de ≈ 280 filas de multas.</w:t>
      </w:r>
    </w:p>
    <w:p>
      <w:pPr>
        <w:spacing w:before="240" w:after="120"/>
      </w:pPr>
      <w:r>
        <w:rPr>
          <w:rFonts w:ascii="Arial" w:hAnsi="Arial"/>
          <w:b/>
          <w:sz w:val="24"/>
        </w:rPr>
        <w:t>Cuadro 9. Las 10 unidades CSEP (F2) descargadas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N.°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Código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Nombre / descripción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CMIN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Minería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CHID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Hidrocarburos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CELE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Electricidad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CIND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Industria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CPES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Pesca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CAGR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Agricultura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CRES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Residuos Sólidos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CCAM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Consultoras Ambientales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UFED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UF educación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UFSAVC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UF vivienda</w:t>
            </w:r>
          </w:p>
        </w:tc>
      </w:tr>
    </w:tbl>
    <w:p/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Estas 10 planillas se consolidan en STG_GS1_CSEP_MULTAS y STG_GS1_ETAPAS, pasan a MI_FACT_MC_CSEP y MI_DET_ETAPA_MC, y también alimentan el hecho de negocio. El territorio CSEP se consulta con MI_DIM_ORGANO_UNIDAD. Magnitud de referencia: ≈ 990 filas de multas y ≈ 2 070 filas de etapas.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22. Diccionario funcional: para qué sirve cada tabla creada en Oracle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El almacén de datos publicado en Oracle (esquema de trabajo, típicamente APP en local o REPOCSEP en remoto) se organiza en cuatro familias de tablas: (i) dimensiones de consulta; (ii) hechos de evidencia por universo; (iii) hecho de negocio enriquecido y detalle de etapas; y (iv) tablas de auditoría (foto cruda). No se publican en Oracle las bitácoras DQ/QA ni los indicadores K1–K5: se calculan en la corrida ETL y quedan como control interno de la corrida. A continuación se describe, en lenguaje de negocio, la utilidad de cada objeto creado.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22.1 Dimensiones (catálogos MI_DIM_*)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7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Tabla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Grano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Para qué sirve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MI_DIM_FUENTE_REGISTRO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universo de origen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Responde de qué fuente proviene la fila (OD_SHEETS, CAGR, SISUD_VW, etc.). Evita sumar universos distintos como un solo censo y permite filtrar linaje.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MI_DIM_ORGANO_UNIDAD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unidad CSEP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Catálogo de las 10 unidades CSEP (+ ND). Sirve para cortes de gestión del universo F2 (por ejemplo, Minería, Hidrocarburos).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MI_DIM_OD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oficina OD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Catálogo de oficinas desconcentradas (31 planillas + miembros de apoyo). Sirve para cortes territoriales del universo F1.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MI_DIM_ADMINISTRADO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administrado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Identifica al sujeto fiscalizado. Permite agrupar o filtrar multas por administrado.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MI_DIM_ESTADO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estado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Catálogo único de estados (resolución, multa, pago). Homogeneiza el lenguaje libre de planillas para cortes comparables.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MI_DIM_TIEMPO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día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Calendario de consulta. Habilita cortes por día, mes, trimestre y año (p. ej. vía ID_TIEMPO_FIRMA).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MI_DIM_PARAMETRO_UIT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año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Valor UIT del año. Contextualiza montos y alimenta la verificación UIT↔soles.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MI_DIM_MATERIA_SUBSECTOR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materia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Clasificación temática cuando existe dato; en muchos casos permanece no especificado (-1).</w:t>
            </w:r>
          </w:p>
        </w:tc>
      </w:tr>
    </w:tbl>
    <w:p/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Regla de uso: las dimensiones no se “suman” solas; se cruzan con hechos mediante identificadores (ID_FUENTE, ID_ORGANO, ID_OD, ID_ADMINISTRADO, ID_ESTADO_*, ID_TIEMPO_FIRMA, ID_UIT, ID_MATERIA). El valor -1 representa “NO ESPECIFICADO” y debe interpretarse como ausencia de dato, no como error de carga.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22.2 Hechos de evidencia (qué se descargó)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Tabla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Grano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Para qué sirve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MI_FACT_MC_CSEP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multa F2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Evidencia de las 10 planillas CSEP. Responde “¿qué entró desde F2?”. Es base del seguimiento CSEP y del enrich de negocio.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MI_FACT_MC_OD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multa F1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Evidencia de las 31 planillas OD. Responde “¿qué entró desde F1?”. Es base del seguimiento territorial y del enrich de negocio.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MI_FACT_MC_SISUD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multa F5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Evidencia de la vista institucional SISUD. Responde “¿qué contiene el núcleo?” y aporta el lookup de CUM/CAM al enrich.</w:t>
            </w:r>
          </w:p>
        </w:tc>
      </w:tr>
    </w:tbl>
    <w:p/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Estas tres tablas son universos independientes. Sus conteos (≈ 990 / ≈ 280 / ≈ 530 en la corrida de referencia) no deben sumarse para obtener un “total único de multas del OEFA”. Cada una responde a una pregunta de procedencia distinta.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22.3 Hecho de negocio y detalle operativo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Tabla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Grano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Para qué sirve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MI_FACT_MULTA_COERCITIVA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multa de planilla + CUM/CAM si hay match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Tabla principal de consulta de gestión. Une CSEP+OD (vertical) y completa CUM/CAM desde SISUD cuando hay correspondencia por resolución normalizada + monto UIT (horizontal).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MI_DET_ETAPA_MC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etapa de multa CSEP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Drill-down del flujo interno CSEP. Permite ver avance por etapas asociado a la multa evidencia F2.</w:t>
            </w:r>
          </w:p>
        </w:tc>
      </w:tr>
    </w:tbl>
    <w:p/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Lectura de magnitud: el hecho de negocio ≈ 1 270 filas corresponde, en la lógica vigente, a CSEP + OD (≈ 990 + ≈ 280), no a la suma de los tres hechos de evidencia. SISUD no añade filas solo-institucionales al hecho final; solo enriquece columnas cuando hay match.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22.4 Tablas de auditoría MI_AUD_* (foto cruda 1:1)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Tabla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Grano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Para qué sirve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MI_AUD_F2_CSEP_MULTAS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fila STG F2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Copia 1:1 de lo leído desde las 10 planillas CSEP. Respaldo ante observación o contraste con la evidencia.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MI_AUD_F2_CSEP_ETAPAS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fila STG etapas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Copia 1:1 de etapas CSEP. Sustenta el detalle cargado en MI_DET_ETAPA_MC.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MI_AUD_F1_OD_MULTAS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fila STG F1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Copia 1:1 de lo leído desde las 31 planillas OD. Respaldo del universo territorial.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MI_AUD_F5_SISUD_VW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 fila STG F5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Copia 1:1 de la vista SISUD usada en el enrich. Contraste del núcleo institucional.</w:t>
            </w:r>
          </w:p>
        </w:tc>
      </w:tr>
    </w:tbl>
    <w:p/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Las tablas MI_AUD_* están fuera de la estrella dimensional: no se usan para indicadores de gestión agregados, sino para trazabilidad y defensa de cifras ante revisión. Su volumen debe alinearse con el staging de la misma corrida.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23. Lógica de crecimiento vertical y horizontal del modelo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Crecimiento vertical: se produce cuando aumentan las filas de multas provenientes de las planillas que gobiernan el negocio (las 31 OD y las 10 CSEP). Más planillas o más registros nuevos en F1/F2 incrementan MI_FACT_MC_OD / MI_FACT_MC_CSEP y, en consecuencia, MI_FACT_MULTA_COERCITIVA.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Crecimiento horizontal: se produce cuando una multa ya existente en planilla encuentra correspondencia en SISUD por resolución normalizada + monto UIT. No se crea una fila nueva: se completan columnas de la misma fila (típicamente CUM y CAM). Es enriquecimiento lateral.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Regla central: “Sheet manda”. SISUD es universo de contraste y de enriquecimiento, no de ampliación vertical del hecho final. Por ello, preguntar “¿cuántas multas de seguimiento hay?” se responde con CSEP, OD o el hecho de negocio; preguntar “¿qué hay en el núcleo?” se responde con MI_FACT_MC_SISUD o MI_AUD_F5_SISUD_VW.</w:t>
      </w:r>
    </w:p>
    <w:p>
      <w:pPr>
        <w:spacing w:before="240" w:after="120"/>
      </w:pPr>
      <w:r>
        <w:rPr>
          <w:rFonts w:ascii="Arial" w:hAnsi="Arial"/>
          <w:b/>
          <w:sz w:val="24"/>
        </w:rPr>
        <w:t>Cuadro 10. Relación práctica pregunta → tabla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Pregunta de gestión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Tabla(s) a usar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¿Qué se descargó de las 10 CSEP?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MI_FACT_MC_CSEP (+ MI_AUD_F2_CSEP_MULTAS)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¿Qué se descargó de las 31 OD?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MI_FACT_MC_OD (+ MI_AUD_F1_OD_MULTAS)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¿Qué contiene el núcleo SISUD?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MI_FACT_MC_SISUD (+ MI_AUD_F5_SISUD_VW)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¿Cómo va el seguimiento operativo con CUM/CAM?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MI_FACT_MULTA_COERCITIVA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¿En qué etapa está el proyecto CSEP?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MI_DET_ETAPA_MC (+ MI_AUD_F2_CSEP_ETAPAS)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¿Por qué unidad CSEP / por qué OD?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Hecho + MI_DIM_ORGANO_UNIDAD / MI_DIM_OD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¿Cómo corto por periodo?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Hecho + MI_DIM_TIEMPO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¿Cómo demuestro la extracción ante auditoría?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MI_AUD_*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sz w:val="24"/>
        </w:rPr>
        <w:t>24. Alcance de publicación en Oracle (clarificación)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Se publican: las 8 dimensiones MI_DIM_*, los 3 hechos de evidencia, el hecho de negocio MI_FACT_MULTA_COERCITIVA, el detalle MI_DET_ETAPA_MC y las 4 tablas MI_AUD_*. Cada corrida realiza un wipe canónico de objetos MI_* / VW_* previos y republica este conjunto.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No se publican como tablas de destino: MI_DQ_HALLAZGO, MI_QA_AMARRE(+DETALLE) ni MI_INDICADOR_RESULTADO (K1–K5). Tampoco se materializan vistas VW_MC_* en el esquema final: la consulta se realiza directamente sobre MI_FACT_*. Los scripts históricos 03/04/06 permanecen como documentación TDR, pero no forman parte de la carga runtime.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Respecto del control de coherencia de fechas (Cuadro 4), la inconsistencia se marca en la corrida ETL mediante la regla R03 (vencimiento coherente con notificación/firma): se registra hallazgo y se marca la fila como no conforme (FG_CONFORME = N), sin eliminar el registro. Ese hallazgo es evidencia de control de la corrida; no constituye una tabla publicada adicional en el esquema canónico de Oracle.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25. Síntesis para el lector del Segundo Entregable</w:t>
      </w:r>
    </w:p>
    <w:p>
      <w:pPr>
        <w:spacing w:after="120"/>
        <w:ind w:firstLine="425"/>
        <w:jc w:val="both"/>
        <w:rPr>
          <w:rFonts w:ascii="Arial" w:hAnsi="Arial"/>
          <w:b w:val="0"/>
          <w:sz w:val="22"/>
        </w:rPr>
      </w:pPr>
      <w:r>
        <w:rPr>
          <w:rFonts w:ascii="Arial" w:hAnsi="Arial"/>
          <w:b w:val="0"/>
          <w:sz w:val="22"/>
        </w:rPr>
        <w:t>En resumen: (i) se descargan 31 planillas OD y 10 planillas CSEP, más la vista SISUD; (ii) cada universo tiene su evidencia y su foto de auditoría; (iii) el hecho de negocio crece en vertical con las planillas y en horizontal con CUM/CAM de SISUD; (iv) cada tabla MI_* tiene un rol explícito de consulta, linaje o respaldo; y (v) el modelo queda listo para el Tercer Entregable sin confundir conteos entre universos.</w:t>
      </w:r>
    </w:p>
    <w:p>
      <w:pPr>
        <w:spacing w:after="120"/>
        <w:ind w:firstLine="425"/>
        <w:jc w:val="both"/>
        <w:rPr>
          <w:rFonts w:ascii="Arial" w:hAnsi="Arial"/>
          <w:b w:val="0"/>
          <w:sz w:val="22"/>
        </w:rPr>
      </w:pPr>
    </w:p>
    <w:p>
      <w:pPr>
        <w:spacing w:after="120"/>
        <w:ind w:firstLine="425"/>
        <w:jc w:val="both"/>
        <w:rPr>
          <w:rFonts w:ascii="Arial" w:hAnsi="Arial"/>
          <w:b w:val="0"/>
          <w:sz w:val="22"/>
        </w:rPr>
      </w:pPr>
      <w:bookmarkStart w:id="0" w:name="_GoBack"/>
      <w:bookmarkEnd w:id="0"/>
    </w:p>
    <w:p>
      <w:pPr>
        <w:spacing w:before="240" w:after="120"/>
      </w:pPr>
      <w:r>
        <w:rPr>
          <w:rFonts w:ascii="Arial" w:hAnsi="Arial"/>
          <w:b/>
          <w:sz w:val="24"/>
        </w:rPr>
        <w:t>26. Cadena de creación de tablas (de la fuente al Oracle)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Para cerrar la lectura del modelo, conviene explicitar el recorrido completo de creación de objetos. Primero, Apache Hop descarga las 31 planillas OD, las 10 planillas CSEP (multas y etapas) y la vista SISUD hacia tablas de staging en H2 (STG_GS2_OD_MULTAS, STG_GS1_CSEP_MULTAS, STG_GS1_ETAPAS, STG_ORA_VW_MULTA_COERCITIVA). Segundo, Python tipifica, homologa y construye dimensiones, hechos de evidencia y detalle. Tercero, la carga a Oracle publica el esquema canónico (wipe de MI_*/VW_* previos, DDL de dimensiones y hechos, inserción, enrich SQL 07) y, a continuación, materializa las cuatro tablas MI_AUD_* como fotografía cruda.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Esta cadena explica por qué existen tablas “parecidas” con roles distintos: el staging es operativo de corrida; la evidencia es el hecho dimensional por universo; el negocio es la base de gestión enriquecida; y la auditoría es el respaldo 1:1 para defensa de cifras. Confundir estas capas produce lecturas incorrectas de volumen y de responsabilidad de la información.</w:t>
      </w:r>
    </w:p>
    <w:p>
      <w:pPr>
        <w:spacing w:before="240" w:after="120"/>
      </w:pPr>
      <w:r>
        <w:rPr>
          <w:rFonts w:ascii="Arial" w:hAnsi="Arial"/>
          <w:b/>
          <w:sz w:val="24"/>
        </w:rPr>
        <w:t>Cuadro 11. De fuente a tabla publicada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2511"/>
        <w:gridCol w:w="1524"/>
        <w:gridCol w:w="1967"/>
        <w:gridCol w:w="21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Fuente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Staging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Evidencia / detalle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Auditoría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Negocio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31 OD (F1)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STG_GS2_OD_MULTAS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MI_FACT_MC_OD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MI_AUD_F1_OD_MULTAS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Parte de MI_FACT_MULTA_COERCITIVA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10 CSEP multas (F2)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STG_GS1_CSEP_MULTAS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MI_FACT_MC_CSEP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MI_AUD_F2_CSEP_MULTAS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Parte de MI_FACT_MULTA_COERCITIVA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10 CSEP etapas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STG_GS1_ETAPAS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MI_DET_ETAPA_MC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MI_AUD_F2_CSEP_ETAPAS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Complemento operativo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SISUD (F5)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STG_ORA_VW_MULTA_COERCITIVA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MI_FACT_MC_SISUD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MI_AUD_F5_SISUD_VW</w:t>
            </w:r>
          </w:p>
        </w:tc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Lookup CUM/CAM (horizontal)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sz w:val="24"/>
        </w:rPr>
        <w:t>27. Ejemplo de uso por tipo de pregunta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Si la CSEP pregunta cuántas multas de Minería están en seguimiento operativo, la ruta correcta es MI_FACT_MC_CSEP o MI_FACT_MULTA_COERCITIVA filtrada por MI_DIM_ORGANO_UNIDAD = CMIN, sin sumar OD ni SISUD. Si una OD (por ejemplo, Ica o Puno) pregunta por su cartera territorial, la ruta es MI_FACT_MC_OD o el hecho de negocio filtrado por MI_DIM_OD. Si el área requiere el código institucional CUM/CAM, se usa el hecho de negocio y se observa si el enrich horizontal completó esos campos; la ausencia de CUM/CAM no elimina la multa de planilla, solo indica que aún no hay correspondencia con el núcleo.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Si la observación es de auditoría (“¿exactamente qué se descargó el día de la corrida?”), la ruta es MI_AUD_*. Si la observación es de contraste institucional (“¿qué registra SISUD?”), la ruta es MI_FACT_MC_SISUD o MI_AUD_F5_SISUD_VW. De este modo, cada tabla evita que una sola consulta pretenda responder preguntas de naturaleza distinta.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28. Controles R01–R05 y dónde se marca la inconsistencia de fechas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Los controles de calidad del Segundo Entregable se aplican en la lógica de corrida. R01 verifica completitud de llaves; R02 el formato de CUM/CAM; R03 la coherencia temporal; R04 montos UIT no negativos; y R05 la coherencia UIT↔soles. El principio es cuarentena blanda: el defecto se marca y la fila se conserva, porque la observación también es parte del entregable.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En particular, el control de “Coherencia de fechas — vencimiento coherente con notificación — Se marca inconsistencia” corresponde a la regla R03. Se evalúan dos pares: (i) F_VENC_DCG respecto de F_NOTIF_DCG; y (ii) F_VENC_MC respecto de F_FIRMA_RES_MC. Si el vencimiento es anterior al hito de referencia, se genera un hallazgo R03 y la fila queda con FG_CONFORME = N. No se borra el registro ni se altera la fecha de origen: la inconsistencia queda visible para tratamiento.</w:t>
      </w:r>
    </w:p>
    <w:p>
      <w:pPr>
        <w:spacing w:before="240" w:after="120"/>
      </w:pPr>
      <w:r>
        <w:rPr>
          <w:rFonts w:ascii="Arial" w:hAnsi="Arial"/>
          <w:b/>
          <w:sz w:val="24"/>
        </w:rPr>
        <w:t>Cuadro 12. Dónde queda marcado cada tipo de control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Control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Qué marca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Dónde se ve en la corrida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¿Se publica como tabla Oracle canónica?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R01–R05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Hallazgo por regla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Bitácora de hallazgos de corrida + FG_CONFORME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 (control de corrida)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R03 fechas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Inconsistencia temporal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Hallazgo R03; FG_CONFORME = N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 (control de corrida)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Amarre H9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Solo izquierda / solo derecha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Resumen y detalle de amarre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 (control de corrida)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Evidencia / negocio / AUD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Datos publicados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Tablas MI_FACT_*, MI_DET_*, MI_AUD_*, MI_DIM_*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Sí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sz w:val="24"/>
        </w:rPr>
        <w:t>29. Lectura recomendada para no confundir las 10 CSEP con las 31 OD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Una fuente frecuente de confusión en reportes resumidos es citar “las 10 planillas” como si representaran toda la descarga. En este servicio existen dos familias de planillas Google Sheets: diez (10) del universo CSEP y treinta y una (31) del universo OD. Ambas son vigentes, ambas se descargan, ambas generan evidencia y auditoría, y ambas alimentan el hecho de negocio. La diferencia es territorial/sectorial: CSEP se corta por unidad (MI_DIM_ORGANO_UNIDAD) y OD por oficina (MI_DIM_OD).</w:t>
      </w:r>
    </w:p>
    <w:p>
      <w:pPr>
        <w:spacing w:after="120"/>
        <w:ind w:firstLine="425"/>
        <w:jc w:val="both"/>
      </w:pPr>
      <w:r>
        <w:rPr>
          <w:rFonts w:ascii="Arial" w:hAnsi="Arial"/>
          <w:b w:val="0"/>
          <w:sz w:val="22"/>
        </w:rPr>
        <w:t>Por ello, cualquier cuadro de cobertura del Segundo Entregable debe mencionar ambas magnitudes. Omitir las 31 OD subdeclara el alcance territorial del modelo y debilita la trazabilidad frente a las oficinas desconcentradas que sí aportan información a MI_FACT_MC_OD y a MI_FACT_MULTA_COERCITIVA.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lfa Slab On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lfa Slab One">
    <w:panose1 w:val="00000500000000000000"/>
    <w:charset w:val="00"/>
    <w:family w:val="auto"/>
    <w:pitch w:val="default"/>
    <w:sig w:usb0="20000007" w:usb1="00000001" w:usb2="00000000" w:usb3="00000000" w:csb0="20000193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Alfa Slab One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Alfa Slab On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Alfa Slab One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Alfa Slab O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BF5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eder</cp:lastModifiedBy>
  <dcterms:modified xsi:type="dcterms:W3CDTF">2026-09-09T11:31:45Z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