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sz w:val="24"/>
        </w:rPr>
        <w:t>INFORME N° 003-2026-EOOG</w:t>
      </w:r>
    </w:p>
    <w:p>
      <w:pPr>
        <w:spacing w:after="160"/>
      </w:pPr>
      <w:r>
        <w:rPr>
          <w:rFonts w:ascii="Calibri" w:hAnsi="Calibri"/>
          <w:sz w:val="22"/>
        </w:rPr>
        <w:t>Tercer entregable — Orden de Servicio N° 02772-2026-S — REQ N.° 3629-2026</w:t>
      </w:r>
    </w:p>
    <w:p>
      <w:r>
        <w:rPr>
          <w:rFonts w:ascii="Calibri" w:hAnsi="Calibri"/>
          <w:b/>
          <w:sz w:val="28"/>
        </w:rPr>
        <w:t>Anexo H-1. Hallazgos técnicos y oportunidades de mejora</w:t>
      </w:r>
    </w:p>
    <w:p>
      <w:pPr>
        <w:spacing w:after="160"/>
      </w:pPr>
      <w:r>
        <w:rPr>
          <w:rFonts w:ascii="Calibri" w:hAnsi="Calibri"/>
          <w:sz w:val="22"/>
        </w:rPr>
        <w:t>Lima, 12 de octubre de 2026</w:t>
      </w:r>
    </w:p>
    <w:p>
      <w:pPr>
        <w:spacing w:after="160"/>
      </w:pPr>
      <w:r>
        <w:rPr>
          <w:rFonts w:ascii="Calibri" w:hAnsi="Calibri"/>
          <w:sz w:val="22"/>
        </w:rPr>
        <w:t>Actividad h) del numeral 6 de los TDR. Primero multas coercitivas. Después informes de supervisión. No se construye un indicador que sume ambos universos.</w:t>
      </w:r>
    </w:p>
    <w:p>
      <w:r>
        <w:rPr>
          <w:rFonts w:ascii="Calibri" w:hAnsi="Calibri"/>
          <w:b/>
          <w:sz w:val="24"/>
        </w:rPr>
        <w:t>Multas</w:t>
      </w:r>
    </w:p>
    <w:p>
      <w:pPr>
        <w:spacing w:after="160"/>
      </w:pPr>
      <w:r>
        <w:rPr>
          <w:rFonts w:ascii="Calibri" w:hAnsi="Calibri"/>
          <w:sz w:val="22"/>
        </w:rPr>
        <w:t>Patrón. El censo de seguimiento es DW_M_FACT_MULTA_COERCITIVA, ≈ 1 271 en la última corrida verificada (≈ 990 planilla CSEP + ≈ 281 planilla OD). La vista SISUD pega CUM y CAM cuando coinciden resolución y monto UIT. En esa corrida, 153 filas CSEP y 64 filas OD traían ambos identificadores. La multa sin match permanece.</w:t>
      </w:r>
    </w:p>
    <w:p>
      <w:pPr>
        <w:spacing w:after="160"/>
      </w:pPr>
      <w:r>
        <w:rPr>
          <w:rFonts w:ascii="Calibri" w:hAnsi="Calibri"/>
          <w:sz w:val="22"/>
        </w:rPr>
        <w:t>Brecha. El formulario GAPPS (F4) está en el diseño del fact y en la auditoría DW_M_AUD_F4_FORM, sin lookup SISUD, pero sin conteo cerrado: no entra a un cuadro de conformidad. El espejo MySQL de multas está en curso. Los indicadores K1–K5, las vistas por universo y las tablas de amarre no están en el Oracle de la corrida canónica.</w:t>
      </w:r>
    </w:p>
    <w:p>
      <w:pPr>
        <w:spacing w:after="160"/>
      </w:pPr>
      <w:r>
        <w:rPr>
          <w:rFonts w:ascii="Calibri" w:hAnsi="Calibri"/>
          <w:sz w:val="22"/>
        </w:rPr>
        <w:t>Oportunidad. Declarar si el cuadro es CSEP, OD o el censo de planillas. No sumar la vista. Informar R01–R05 sin borrar filas. Cerrar F4 y el espejo MySQL de multas en una corrida posterior, fuera de este entregable.</w:t>
      </w:r>
    </w:p>
    <w:p>
      <w:r>
        <w:rPr>
          <w:rFonts w:ascii="Calibri" w:hAnsi="Calibri"/>
          <w:b/>
          <w:sz w:val="24"/>
        </w:rPr>
        <w:t>Informes</w:t>
      </w:r>
    </w:p>
    <w:p>
      <w:pPr>
        <w:spacing w:after="160"/>
      </w:pPr>
      <w:r>
        <w:rPr>
          <w:rFonts w:ascii="Calibri" w:hAnsi="Calibri"/>
          <w:sz w:val="22"/>
        </w:rPr>
        <w:t>Patrón. Tres publicaciones paralelas. El histórico DW_INF_CONSOL_RDATA (≈ 111 091, años 2019–2026, sede y OD) se carga bajo demanda. El formulario DW_INF_CONSOL_FORM (≈ 19; 16 en COR065 y 3 en COR040) y la vista DW_INF_CSEP_INFORMES_VIEW (≈ 53 288) salen en la corrida diaria. El espejo MySQL de informes está cerrado para el formulario y para la vista.</w:t>
      </w:r>
    </w:p>
    <w:p>
      <w:pPr>
        <w:spacing w:after="160"/>
      </w:pPr>
      <w:r>
        <w:rPr>
          <w:rFonts w:ascii="Calibri" w:hAnsi="Calibri"/>
          <w:sz w:val="22"/>
        </w:rPr>
        <w:t>Brecha. Un lector que sume las tres tablas obtiene una cifra que ninguna corrida produjo. El histórico no está “al día” respecto del formulario. La vista no es el desagregado de las 19 filas vigentes ni de las 111 091 históricas. Campos antiguos de la vista no existen en la plantilla reciente del consolidado.</w:t>
      </w:r>
    </w:p>
    <w:p>
      <w:pPr>
        <w:spacing w:after="160"/>
      </w:pPr>
      <w:r>
        <w:rPr>
          <w:rFonts w:ascii="Calibri" w:hAnsi="Calibri"/>
          <w:sz w:val="22"/>
        </w:rPr>
        <w:t>Oportunidad. Título del cuadro = nombre de la tabla + denominador. Histórico para la serie larga. Formulario para lo vigente. Vista para actividades y ciclo. No publicar nombres de funcionarios. No cruzar con multas por falta de llave conformada.</w:t>
      </w:r>
    </w:p>
    <w:p>
      <w:r>
        <w:rPr>
          <w:rFonts w:ascii="Calibri" w:hAnsi="Calibri"/>
          <w:b/>
          <w:sz w:val="24"/>
        </w:rPr>
        <w:t>Uso para la decisión</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Pregunta</w:t>
            </w:r>
          </w:p>
        </w:tc>
        <w:tc>
          <w:tcPr>
            <w:tcW w:type="dxa" w:w="2351"/>
          </w:tcPr>
          <w:p>
            <w:r>
              <w:t>Tabla</w:t>
            </w:r>
          </w:p>
        </w:tc>
        <w:tc>
          <w:tcPr>
            <w:tcW w:type="dxa" w:w="2351"/>
          </w:tcPr>
          <w:p>
            <w:r>
              <w:t>Cifra de referencia</w:t>
            </w:r>
          </w:p>
        </w:tc>
        <w:tc>
          <w:tcPr>
            <w:tcW w:type="dxa" w:w="2351"/>
          </w:tcPr>
          <w:p>
            <w:r>
              <w:t>Prohibido</w:t>
            </w:r>
          </w:p>
        </w:tc>
      </w:tr>
      <w:tr>
        <w:tc>
          <w:tcPr>
            <w:tcW w:type="dxa" w:w="2351"/>
          </w:tcPr>
          <w:p>
            <w:r>
              <w:t>Multas en seguimiento de planilla</w:t>
            </w:r>
          </w:p>
        </w:tc>
        <w:tc>
          <w:tcPr>
            <w:tcW w:type="dxa" w:w="2351"/>
          </w:tcPr>
          <w:p>
            <w:r>
              <w:t>DW_M_FACT_MULTA_COERCITIVA</w:t>
            </w:r>
          </w:p>
        </w:tc>
        <w:tc>
          <w:tcPr>
            <w:tcW w:type="dxa" w:w="2351"/>
          </w:tcPr>
          <w:p>
            <w:r>
              <w:t>≈ 1 271</w:t>
            </w:r>
          </w:p>
        </w:tc>
        <w:tc>
          <w:tcPr>
            <w:tcW w:type="dxa" w:w="2351"/>
          </w:tcPr>
          <w:p>
            <w:r>
              <w:t>Sumar la vista SISUD</w:t>
            </w:r>
          </w:p>
        </w:tc>
      </w:tr>
      <w:tr>
        <w:tc>
          <w:tcPr>
            <w:tcW w:type="dxa" w:w="2351"/>
          </w:tcPr>
          <w:p>
            <w:r>
              <w:t>Multas de una unidad CSEP</w:t>
            </w:r>
          </w:p>
        </w:tc>
        <w:tc>
          <w:tcPr>
            <w:tcW w:type="dxa" w:w="2351"/>
          </w:tcPr>
          <w:p>
            <w:r>
              <w:t>La misma, filtrada</w:t>
            </w:r>
          </w:p>
        </w:tc>
        <w:tc>
          <w:tcPr>
            <w:tcW w:type="dxa" w:w="2351"/>
          </w:tcPr>
          <w:p>
            <w:r>
              <w:t>Dentro de ≈ 990</w:t>
            </w:r>
          </w:p>
        </w:tc>
        <w:tc>
          <w:tcPr>
            <w:tcW w:type="dxa" w:w="2351"/>
          </w:tcPr>
          <w:p>
            <w:r>
              <w:t>Exigir CUM para contar</w:t>
            </w:r>
          </w:p>
        </w:tc>
      </w:tr>
      <w:tr>
        <w:tc>
          <w:tcPr>
            <w:tcW w:type="dxa" w:w="2351"/>
          </w:tcPr>
          <w:p>
            <w:r>
              <w:t>Informes históricos por año</w:t>
            </w:r>
          </w:p>
        </w:tc>
        <w:tc>
          <w:tcPr>
            <w:tcW w:type="dxa" w:w="2351"/>
          </w:tcPr>
          <w:p>
            <w:r>
              <w:t>DW_INF_CONSOL_RDATA</w:t>
            </w:r>
          </w:p>
        </w:tc>
        <w:tc>
          <w:tcPr>
            <w:tcW w:type="dxa" w:w="2351"/>
          </w:tcPr>
          <w:p>
            <w:r>
              <w:t>≈ 111 091</w:t>
            </w:r>
          </w:p>
        </w:tc>
        <w:tc>
          <w:tcPr>
            <w:tcW w:type="dxa" w:w="2351"/>
          </w:tcPr>
          <w:p>
            <w:r>
              <w:t>Sumar el formulario</w:t>
            </w:r>
          </w:p>
        </w:tc>
      </w:tr>
      <w:tr>
        <w:tc>
          <w:tcPr>
            <w:tcW w:type="dxa" w:w="2351"/>
          </w:tcPr>
          <w:p>
            <w:r>
              <w:t>Formulario vigente por oficina</w:t>
            </w:r>
          </w:p>
        </w:tc>
        <w:tc>
          <w:tcPr>
            <w:tcW w:type="dxa" w:w="2351"/>
          </w:tcPr>
          <w:p>
            <w:r>
              <w:t>DW_INF_CONSOL_FORM</w:t>
            </w:r>
          </w:p>
        </w:tc>
        <w:tc>
          <w:tcPr>
            <w:tcW w:type="dxa" w:w="2351"/>
          </w:tcPr>
          <w:p>
            <w:r>
              <w:t>≈ 19</w:t>
            </w:r>
          </w:p>
        </w:tc>
        <w:tc>
          <w:tcPr>
            <w:tcW w:type="dxa" w:w="2351"/>
          </w:tcPr>
          <w:p>
            <w:r>
              <w:t>Presentarlo como el histórico</w:t>
            </w:r>
          </w:p>
        </w:tc>
      </w:tr>
      <w:tr>
        <w:tc>
          <w:tcPr>
            <w:tcW w:type="dxa" w:w="2351"/>
          </w:tcPr>
          <w:p>
            <w:r>
              <w:t>Ciclo y actividades</w:t>
            </w:r>
          </w:p>
        </w:tc>
        <w:tc>
          <w:tcPr>
            <w:tcW w:type="dxa" w:w="2351"/>
          </w:tcPr>
          <w:p>
            <w:r>
              <w:t>DW_INF_CSEP_INFORMES_VIEW</w:t>
            </w:r>
          </w:p>
        </w:tc>
        <w:tc>
          <w:tcPr>
            <w:tcW w:type="dxa" w:w="2351"/>
          </w:tcPr>
          <w:p>
            <w:r>
              <w:t>≈ 53 288</w:t>
            </w:r>
          </w:p>
        </w:tc>
        <w:tc>
          <w:tcPr>
            <w:tcW w:type="dxa" w:w="2351"/>
          </w:tcPr>
          <w:p>
            <w:r>
              <w:t>Llamarlas informes del censo</w:t>
            </w:r>
          </w:p>
        </w:tc>
      </w:tr>
    </w:tbl>
    <w:p/>
    <w:p>
      <w:pPr>
        <w:spacing w:after="160"/>
      </w:pPr>
      <w:r>
        <w:rPr>
          <w:rFonts w:ascii="Calibri" w:hAnsi="Calibri"/>
          <w:sz w:val="22"/>
        </w:rPr>
        <w:t>Esas cifras no se restan ni se suman entre sí. Con eso quedan formulados los hallazgos y las oportunidades de la actividad h), como insumo de la DPEF.</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