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20" w:line="276" w:lineRule="auto"/>
        <w:rPr>
          <w:sz w:val="20"/>
          <w:szCs w:val="20"/>
        </w:rPr>
      </w:pPr>
      <w:r>
        <w:rPr>
          <w:rFonts w:ascii="Arial" w:hAnsi="Arial" w:eastAsia="Arial"/>
          <w:b w:val="0"/>
          <w:sz w:val="20"/>
          <w:szCs w:val="20"/>
        </w:rPr>
        <w:t>Lima, 12 de octubre de 2026</w:t>
      </w:r>
    </w:p>
    <w:p>
      <w:pPr>
        <w:spacing w:before="120" w:after="120" w:line="276" w:lineRule="auto"/>
        <w:rPr>
          <w:sz w:val="22"/>
          <w:szCs w:val="22"/>
        </w:rPr>
      </w:pPr>
      <w:r>
        <w:rPr>
          <w:rFonts w:ascii="Arial" w:hAnsi="Arial" w:eastAsia="Arial"/>
          <w:b/>
          <w:sz w:val="22"/>
          <w:szCs w:val="22"/>
        </w:rPr>
        <w:t>CARTA N° 003-2026-EOOG</w:t>
      </w:r>
    </w:p>
    <w:p>
      <w:pPr>
        <w:spacing w:before="160" w:after="120" w:line="276" w:lineRule="auto"/>
        <w:rPr>
          <w:sz w:val="20"/>
          <w:szCs w:val="20"/>
        </w:rPr>
      </w:pPr>
      <w:r>
        <w:rPr>
          <w:rFonts w:ascii="Arial" w:hAnsi="Arial" w:eastAsia="Arial"/>
          <w:b w:val="0"/>
          <w:sz w:val="20"/>
          <w:szCs w:val="20"/>
        </w:rPr>
        <w:t>Señor:</w:t>
      </w:r>
    </w:p>
    <w:p>
      <w:pPr>
        <w:spacing w:before="0" w:after="120" w:line="276" w:lineRule="auto"/>
        <w:rPr>
          <w:sz w:val="22"/>
          <w:szCs w:val="22"/>
        </w:rPr>
      </w:pPr>
      <w:r>
        <w:rPr>
          <w:rFonts w:ascii="Arial" w:hAnsi="Arial" w:eastAsia="Arial"/>
          <w:b/>
          <w:sz w:val="22"/>
          <w:szCs w:val="22"/>
        </w:rPr>
        <w:t>IGOR ELIAS MEJIA VERAS</w:t>
      </w:r>
    </w:p>
    <w:p>
      <w:pPr>
        <w:spacing w:before="0" w:after="120" w:line="276" w:lineRule="auto"/>
        <w:rPr>
          <w:sz w:val="20"/>
          <w:szCs w:val="20"/>
        </w:rPr>
      </w:pPr>
      <w:r>
        <w:rPr>
          <w:rFonts w:ascii="Arial" w:hAnsi="Arial" w:eastAsia="Arial"/>
          <w:b w:val="0"/>
          <w:sz w:val="20"/>
          <w:szCs w:val="20"/>
        </w:rPr>
        <w:t>Director de la Dirección de Políticas y Estrategias en Fiscalización Ambiental (DPEF)</w:t>
      </w:r>
    </w:p>
    <w:p>
      <w:pPr>
        <w:spacing w:before="0" w:after="120" w:line="276" w:lineRule="auto"/>
        <w:rPr>
          <w:sz w:val="20"/>
          <w:szCs w:val="20"/>
        </w:rPr>
      </w:pPr>
      <w:r>
        <w:rPr>
          <w:rFonts w:ascii="Arial" w:hAnsi="Arial" w:eastAsia="Arial"/>
          <w:b w:val="0"/>
          <w:sz w:val="20"/>
          <w:szCs w:val="20"/>
        </w:rPr>
        <w:t>Presente. -</w:t>
      </w:r>
    </w:p>
    <w:p>
      <w:pPr>
        <w:spacing w:before="160" w:after="120" w:line="276" w:lineRule="auto"/>
        <w:rPr>
          <w:sz w:val="20"/>
          <w:szCs w:val="20"/>
        </w:rPr>
      </w:pPr>
      <w:r>
        <w:rPr>
          <w:rFonts w:ascii="Arial" w:hAnsi="Arial" w:eastAsia="Arial"/>
          <w:b w:val="0"/>
          <w:sz w:val="20"/>
          <w:szCs w:val="20"/>
        </w:rPr>
        <w:t>Asunto</w:t>
        <w:tab/>
        <w:t>:  Presentación del Tercer Entregable</w:t>
      </w:r>
      <w:r>
        <w:rPr>
          <w:rFonts w:ascii="Arial" w:hAnsi="Arial" w:eastAsia="Arial"/>
          <w:b w:val="0"/>
          <w:sz w:val="20"/>
          <w:szCs w:val="20"/>
        </w:rPr>
      </w:r>
      <w:r>
        <w:rPr>
          <w:rFonts w:ascii="Arial" w:hAnsi="Arial" w:eastAsia="Arial"/>
          <w:b w:val="0"/>
          <w:sz w:val="20"/>
          <w:szCs w:val="20"/>
        </w:rPr>
      </w:r>
    </w:p>
    <w:p>
      <w:pPr>
        <w:spacing w:before="0" w:after="120" w:line="276" w:lineRule="auto"/>
        <w:rPr>
          <w:sz w:val="20"/>
          <w:szCs w:val="20"/>
        </w:rPr>
      </w:pPr>
      <w:r>
        <w:rPr>
          <w:rFonts w:ascii="Arial" w:hAnsi="Arial" w:eastAsia="Arial"/>
          <w:b w:val="0"/>
          <w:sz w:val="20"/>
          <w:szCs w:val="20"/>
        </w:rPr>
        <w:t>Referencia</w:t>
      </w:r>
      <w:r>
        <w:rPr>
          <w:rFonts w:ascii="Arial" w:hAnsi="Arial" w:eastAsia="Arial"/>
          <w:b w:val="0"/>
          <w:sz w:val="20"/>
          <w:szCs w:val="20"/>
        </w:rPr>
        <w:tab/>
      </w:r>
      <w:r>
        <w:rPr>
          <w:rFonts w:ascii="Arial" w:hAnsi="Arial" w:eastAsia="Arial"/>
          <w:b w:val="0"/>
          <w:sz w:val="20"/>
          <w:szCs w:val="20"/>
        </w:rPr>
        <w:t>:  Orden de Servicio N° 02772-2026-S</w:t>
      </w:r>
    </w:p>
    <w:p>
      <w:pPr>
        <w:spacing w:before="160" w:after="120" w:line="276" w:lineRule="auto"/>
        <w:rPr>
          <w:sz w:val="20"/>
          <w:szCs w:val="20"/>
        </w:rPr>
      </w:pPr>
      <w:r>
        <w:rPr>
          <w:rFonts w:ascii="Arial" w:hAnsi="Arial" w:eastAsia="Arial"/>
          <w:b w:val="0"/>
          <w:sz w:val="20"/>
          <w:szCs w:val="20"/>
        </w:rPr>
        <w:t>De mi mayor consideración:</w:t>
      </w:r>
    </w:p>
    <w:p>
      <w:pPr>
        <w:spacing w:before="0" w:after="120" w:line="276" w:lineRule="auto"/>
        <w:jc w:val="both"/>
        <w:rPr>
          <w:sz w:val="20"/>
          <w:szCs w:val="20"/>
        </w:rPr>
      </w:pPr>
      <w:r>
        <w:rPr>
          <w:rFonts w:ascii="Arial" w:hAnsi="Arial" w:eastAsia="Arial"/>
          <w:b w:val="0"/>
          <w:sz w:val="20"/>
          <w:szCs w:val="20"/>
        </w:rPr>
        <w:t>Tengo el agrado de dirigirme a usted, a fin de presentar el tercer entregable debidamente suscrito de la “CONTRATACIÓN DEL SERVICIO DE ANÁLISIS DE DATOS E IMPLEMENTACIÓN DE TÉCNICA PARA PROCESAMIENTO DE DATOS PARA LA EVALUACIÓN DE LA EFECTIVIDAD DE LAS ESTRATEGIAS DE PROMOCIÓN DEL CUMPLIMIENTO”, correspondiente a la Orden de Servicio N° 02772-2026-S, en cumplimiento de las actividades g) y h) previstas en el numeral 6 de los Términos de Referencia, aplicables a los informes de supervisión y a las multas coercitivas.</w:t>
      </w:r>
    </w:p>
    <w:p>
      <w:pPr>
        <w:spacing w:before="0" w:after="120" w:line="276" w:lineRule="auto"/>
        <w:rPr>
          <w:sz w:val="20"/>
          <w:szCs w:val="20"/>
        </w:rPr>
      </w:pPr>
      <w:r>
        <w:rPr>
          <w:rFonts w:ascii="Arial" w:hAnsi="Arial" w:eastAsia="Arial"/>
          <w:b w:val="0"/>
          <w:sz w:val="20"/>
          <w:szCs w:val="20"/>
        </w:rPr>
        <w:t>Asimismo, se adjunta la siguiente documentación para el pago respectivo de haber obtenido la conformidad del servicio prestado:</w:t>
      </w:r>
    </w:p>
    <w:p>
      <w:pPr>
        <w:spacing w:before="0" w:after="40" w:line="276" w:lineRule="auto"/>
        <w:rPr>
          <w:sz w:val="20"/>
          <w:szCs w:val="20"/>
        </w:rPr>
      </w:pPr>
      <w:r>
        <w:rPr>
          <w:rFonts w:ascii="Arial" w:hAnsi="Arial" w:eastAsia="Arial"/>
          <w:b w:val="0"/>
          <w:sz w:val="20"/>
          <w:szCs w:val="20"/>
        </w:rPr>
        <w:t>1. Informe N° 003-2026-EOOG, correspondiente al tercer entregable.</w:t>
      </w:r>
    </w:p>
    <w:p>
      <w:pPr>
        <w:spacing w:before="0" w:after="40" w:line="276" w:lineRule="auto"/>
        <w:rPr>
          <w:sz w:val="20"/>
          <w:szCs w:val="20"/>
        </w:rPr>
      </w:pPr>
      <w:r>
        <w:rPr>
          <w:rFonts w:ascii="Arial" w:hAnsi="Arial" w:eastAsia="Arial"/>
          <w:b w:val="0"/>
          <w:sz w:val="20"/>
          <w:szCs w:val="20"/>
        </w:rPr>
        <w:t>2. Términos de Referencia.</w:t>
      </w:r>
    </w:p>
    <w:p>
      <w:pPr>
        <w:spacing w:before="0" w:after="40" w:line="276" w:lineRule="auto"/>
        <w:rPr>
          <w:sz w:val="20"/>
          <w:szCs w:val="20"/>
        </w:rPr>
      </w:pPr>
      <w:r>
        <w:rPr>
          <w:rFonts w:ascii="Arial" w:hAnsi="Arial" w:eastAsia="Arial"/>
          <w:b w:val="0"/>
          <w:sz w:val="20"/>
          <w:szCs w:val="20"/>
        </w:rPr>
        <w:t>3. Orden de Servicio N° 02772-2026-S.</w:t>
      </w:r>
    </w:p>
    <w:p>
      <w:pPr>
        <w:spacing w:before="0" w:after="40" w:line="276" w:lineRule="auto"/>
        <w:rPr>
          <w:sz w:val="20"/>
          <w:szCs w:val="20"/>
        </w:rPr>
      </w:pPr>
      <w:r>
        <w:rPr>
          <w:rFonts w:ascii="Arial" w:hAnsi="Arial" w:eastAsia="Arial"/>
          <w:b w:val="0"/>
          <w:sz w:val="20"/>
          <w:szCs w:val="20"/>
        </w:rPr>
        <w:t>4. Consulta RUC.</w:t>
      </w:r>
    </w:p>
    <w:p>
      <w:pPr>
        <w:spacing w:before="0" w:after="40" w:line="276" w:lineRule="auto"/>
        <w:rPr>
          <w:sz w:val="20"/>
          <w:szCs w:val="20"/>
        </w:rPr>
      </w:pPr>
      <w:r>
        <w:rPr>
          <w:rFonts w:ascii="Arial" w:hAnsi="Arial" w:eastAsia="Arial"/>
          <w:b w:val="0"/>
          <w:sz w:val="20"/>
          <w:szCs w:val="20"/>
        </w:rPr>
        <w:t>5. Constancia RNP.</w:t>
      </w:r>
    </w:p>
    <w:p>
      <w:pPr>
        <w:spacing w:before="0" w:after="40" w:line="276" w:lineRule="auto"/>
        <w:rPr>
          <w:sz w:val="20"/>
          <w:szCs w:val="20"/>
        </w:rPr>
      </w:pPr>
      <w:r>
        <w:rPr>
          <w:rFonts w:ascii="Arial" w:hAnsi="Arial" w:eastAsia="Arial"/>
          <w:b w:val="0"/>
          <w:sz w:val="20"/>
          <w:szCs w:val="20"/>
        </w:rPr>
        <w:t>6. Recibo por Honorarios Electrónico.</w:t>
      </w:r>
    </w:p>
    <w:p>
      <w:pPr>
        <w:spacing w:before="0" w:after="40" w:line="276" w:lineRule="auto"/>
        <w:rPr>
          <w:sz w:val="20"/>
          <w:szCs w:val="20"/>
        </w:rPr>
      </w:pPr>
      <w:r>
        <w:rPr>
          <w:rFonts w:ascii="Arial" w:hAnsi="Arial" w:eastAsia="Arial"/>
          <w:b w:val="0"/>
          <w:sz w:val="20"/>
          <w:szCs w:val="20"/>
        </w:rPr>
        <w:t>7. Validez del recibo por honorarios.</w:t>
      </w:r>
    </w:p>
    <w:p>
      <w:pPr>
        <w:spacing w:before="0" w:after="40" w:line="276" w:lineRule="auto"/>
        <w:rPr>
          <w:sz w:val="20"/>
          <w:szCs w:val="20"/>
        </w:rPr>
      </w:pPr>
      <w:r>
        <w:rPr>
          <w:rFonts w:ascii="Arial" w:hAnsi="Arial" w:eastAsia="Arial"/>
          <w:b w:val="0"/>
          <w:sz w:val="20"/>
          <w:szCs w:val="20"/>
        </w:rPr>
        <w:t>8. Anexos (Carpeta: Anexos Informe 3).</w:t>
      </w:r>
    </w:p>
    <w:p>
      <w:pPr>
        <w:spacing w:before="200" w:after="120" w:line="276" w:lineRule="auto"/>
        <w:rPr>
          <w:sz w:val="20"/>
          <w:szCs w:val="20"/>
        </w:rPr>
      </w:pPr>
      <w:r>
        <w:rPr>
          <w:rFonts w:ascii="Arial" w:hAnsi="Arial" w:eastAsia="Arial"/>
          <w:b w:val="0"/>
          <w:sz w:val="20"/>
          <w:szCs w:val="20"/>
        </w:rPr>
        <w:t>Atentamente.</w:t>
      </w:r>
    </w:p>
    <w:p>
      <w:pPr>
        <w:spacing w:before="0" w:after="0" w:line="276" w:lineRule="auto"/>
        <w:rPr>
          <w:sz w:val="20"/>
          <w:szCs w:val="20"/>
        </w:rPr>
      </w:pPr>
    </w:p>
    <w:p>
      <w:pPr>
        <w:spacing w:before="0" w:after="0" w:line="276" w:lineRule="auto"/>
        <w:rPr>
          <w:sz w:val="20"/>
          <w:szCs w:val="20"/>
        </w:rPr>
      </w:pPr>
    </w:p>
    <w:p>
      <w:pPr>
        <w:spacing w:before="0" w:after="0" w:line="276" w:lineRule="auto"/>
        <w:rPr>
          <w:sz w:val="20"/>
          <w:szCs w:val="20"/>
        </w:rPr>
      </w:pPr>
    </w:p>
    <w:p>
      <w:pPr>
        <w:spacing w:before="0" w:after="120" w:line="276" w:lineRule="auto"/>
        <w:jc w:val="center"/>
        <w:rPr>
          <w:sz w:val="20"/>
          <w:szCs w:val="20"/>
        </w:rPr>
      </w:pPr>
      <w:r>
        <w:rPr>
          <w:rFonts w:ascii="Arial" w:hAnsi="Arial" w:eastAsia="Arial"/>
          <w:b w:val="0"/>
          <w:sz w:val="20"/>
          <w:szCs w:val="20"/>
        </w:rPr>
        <w:t>________________________________</w:t>
      </w:r>
    </w:p>
    <w:p>
      <w:pPr>
        <w:spacing w:before="0" w:after="0" w:line="276" w:lineRule="auto"/>
        <w:jc w:val="center"/>
        <w:rPr>
          <w:sz w:val="20"/>
          <w:szCs w:val="20"/>
        </w:rPr>
      </w:pPr>
      <w:r>
        <w:rPr>
          <w:rFonts w:ascii="Arial" w:hAnsi="Arial" w:eastAsia="Arial"/>
          <w:b/>
          <w:sz w:val="20"/>
          <w:szCs w:val="20"/>
        </w:rPr>
        <w:t>Eder Oswaldo Ortega Gonzales</w:t>
      </w:r>
    </w:p>
    <w:p>
      <w:pPr>
        <w:spacing w:before="0" w:after="0" w:line="276" w:lineRule="auto"/>
        <w:jc w:val="center"/>
        <w:rPr>
          <w:sz w:val="20"/>
          <w:szCs w:val="20"/>
        </w:rPr>
      </w:pPr>
      <w:r>
        <w:rPr>
          <w:rFonts w:ascii="Arial" w:hAnsi="Arial" w:eastAsia="Arial"/>
          <w:b w:val="0"/>
          <w:sz w:val="20"/>
          <w:szCs w:val="20"/>
        </w:rPr>
        <w:t>DNI: 42202029</w:t>
      </w:r>
    </w:p>
    <w:p>
      <w:pPr>
        <w:spacing w:before="0" w:after="120" w:line="276" w:lineRule="auto"/>
        <w:jc w:val="center"/>
        <w:rPr>
          <w:sz w:val="20"/>
          <w:szCs w:val="20"/>
        </w:rPr>
      </w:pPr>
      <w:r>
        <w:rPr>
          <w:rFonts w:ascii="Arial" w:hAnsi="Arial" w:eastAsia="Arial"/>
          <w:b w:val="0"/>
          <w:sz w:val="20"/>
          <w:szCs w:val="20"/>
        </w:rPr>
        <w:t>RUC: 10422020298</w:t>
      </w:r>
    </w:p>
    <w:p>
      <w:pPr>
        <w:jc w:val="center"/>
        <w:rPr>
          <w:sz w:val="20"/>
          <w:szCs w:val="20"/>
        </w:rPr>
      </w:pPr>
      <w:r>
        <w:rPr>
          <w:sz w:val="20"/>
          <w:szCs w:val="20"/>
        </w:rPr>
        <w:br w:type="page"/>
      </w:r>
    </w:p>
    <w:p>
      <w:pPr>
        <w:spacing w:before="120" w:after="120" w:line="276" w:lineRule="auto"/>
        <w:jc w:val="center"/>
        <w:rPr>
          <w:sz w:val="22"/>
          <w:szCs w:val="22"/>
        </w:rPr>
      </w:pPr>
      <w:r>
        <w:rPr>
          <w:rFonts w:ascii="Arial" w:hAnsi="Arial" w:eastAsia="Arial"/>
          <w:b/>
          <w:sz w:val="22"/>
          <w:szCs w:val="22"/>
        </w:rPr>
        <w:t>INFORME N° 003-2026-EOOG</w:t>
      </w:r>
    </w:p>
    <w:p>
      <w:pPr>
        <w:spacing w:before="160" w:after="120" w:line="276" w:lineRule="auto"/>
        <w:rPr>
          <w:sz w:val="20"/>
          <w:szCs w:val="20"/>
        </w:rPr>
      </w:pPr>
      <w:r>
        <w:rPr>
          <w:rFonts w:ascii="Arial" w:hAnsi="Arial" w:eastAsia="Arial"/>
          <w:b w:val="0"/>
          <w:sz w:val="20"/>
          <w:szCs w:val="20"/>
        </w:rPr>
        <w:t>A</w:t>
      </w:r>
      <w:r>
        <w:rPr>
          <w:rFonts w:ascii="Arial" w:hAnsi="Arial" w:eastAsia="Arial"/>
          <w:b w:val="0"/>
          <w:sz w:val="20"/>
          <w:szCs w:val="20"/>
        </w:rPr>
        <w:tab/>
      </w:r>
      <w:r>
        <w:rPr>
          <w:rFonts w:ascii="Arial" w:hAnsi="Arial" w:eastAsia="Arial"/>
          <w:b w:val="0"/>
          <w:sz w:val="20"/>
          <w:szCs w:val="20"/>
        </w:rPr>
        <w:tab/>
      </w:r>
      <w:r>
        <w:rPr>
          <w:rFonts w:ascii="Arial" w:hAnsi="Arial" w:eastAsia="Arial"/>
          <w:b w:val="0"/>
          <w:sz w:val="20"/>
          <w:szCs w:val="20"/>
        </w:rPr>
        <w:t>:  IGOR ELIAS MEJIA VERAS</w:t>
      </w:r>
    </w:p>
    <w:p>
      <w:pPr>
        <w:spacing w:before="0" w:after="120" w:line="276" w:lineRule="auto"/>
        <w:rPr>
          <w:sz w:val="20"/>
          <w:szCs w:val="20"/>
        </w:rPr>
      </w:pPr>
      <w:r>
        <w:rPr>
          <w:rFonts w:ascii="Arial" w:hAnsi="Arial" w:eastAsia="Arial"/>
          <w:b w:val="0"/>
          <w:sz w:val="20"/>
          <w:szCs w:val="20"/>
        </w:rPr>
        <w:t>Director de la Dirección de Políticas y Estrategias en Fiscalización Ambiental del OEFA</w:t>
      </w:r>
    </w:p>
    <w:p>
      <w:pPr>
        <w:spacing w:before="0" w:after="120" w:line="276" w:lineRule="auto"/>
        <w:rPr>
          <w:sz w:val="20"/>
          <w:szCs w:val="20"/>
        </w:rPr>
      </w:pPr>
      <w:r>
        <w:rPr>
          <w:rFonts w:ascii="Arial" w:hAnsi="Arial" w:eastAsia="Arial"/>
          <w:b w:val="0"/>
          <w:sz w:val="20"/>
          <w:szCs w:val="20"/>
        </w:rPr>
        <w:t>Asunto</w:t>
        <w:tab/>
        <w:t>:  Tercer entregable de la Orden de Servicio N° 02772-2026-S</w:t>
      </w:r>
      <w:r>
        <w:rPr>
          <w:rFonts w:ascii="Arial" w:hAnsi="Arial" w:eastAsia="Arial"/>
          <w:b w:val="0"/>
          <w:sz w:val="20"/>
          <w:szCs w:val="20"/>
        </w:rPr>
      </w:r>
      <w:r>
        <w:rPr>
          <w:rFonts w:ascii="Arial" w:hAnsi="Arial" w:eastAsia="Arial"/>
          <w:b w:val="0"/>
          <w:sz w:val="20"/>
          <w:szCs w:val="20"/>
        </w:rPr>
      </w:r>
    </w:p>
    <w:p>
      <w:pPr>
        <w:spacing w:before="0" w:after="120" w:line="276" w:lineRule="auto"/>
        <w:rPr>
          <w:sz w:val="20"/>
          <w:szCs w:val="20"/>
        </w:rPr>
      </w:pPr>
      <w:r>
        <w:rPr>
          <w:rFonts w:ascii="Arial" w:hAnsi="Arial" w:eastAsia="Arial"/>
          <w:b w:val="0"/>
          <w:sz w:val="20"/>
          <w:szCs w:val="20"/>
        </w:rPr>
        <w:t>Ref.</w:t>
      </w:r>
      <w:r>
        <w:rPr>
          <w:rFonts w:ascii="Arial" w:hAnsi="Arial" w:eastAsia="Arial"/>
          <w:b w:val="0"/>
          <w:sz w:val="20"/>
          <w:szCs w:val="20"/>
        </w:rPr>
        <w:tab/>
      </w:r>
      <w:r>
        <w:rPr>
          <w:rFonts w:ascii="Arial" w:hAnsi="Arial" w:eastAsia="Arial"/>
          <w:b w:val="0"/>
          <w:sz w:val="20"/>
          <w:szCs w:val="20"/>
        </w:rPr>
        <w:t>:  Términos de Referencia — REQ N.° 3629-2026 / OS N° 02772-2026-S</w:t>
      </w:r>
    </w:p>
    <w:p>
      <w:pPr>
        <w:spacing w:before="0" w:after="120" w:line="276" w:lineRule="auto"/>
        <w:rPr>
          <w:sz w:val="20"/>
          <w:szCs w:val="20"/>
        </w:rPr>
      </w:pPr>
      <w:r>
        <w:rPr>
          <w:rFonts w:ascii="Arial" w:hAnsi="Arial" w:eastAsia="Arial"/>
          <w:b w:val="0"/>
          <w:sz w:val="20"/>
          <w:szCs w:val="20"/>
        </w:rPr>
        <w:t>Fecha</w:t>
        <w:tab/>
        <w:t>:  Lima, 12 de octubre de 2026.</w:t>
      </w:r>
      <w:r>
        <w:rPr>
          <w:rFonts w:ascii="Arial" w:hAnsi="Arial" w:eastAsia="Arial"/>
          <w:b w:val="0"/>
          <w:sz w:val="20"/>
          <w:szCs w:val="20"/>
        </w:rPr>
      </w:r>
      <w:r>
        <w:rPr>
          <w:rFonts w:ascii="Arial" w:hAnsi="Arial" w:eastAsia="Arial"/>
          <w:b w:val="0"/>
          <w:sz w:val="20"/>
          <w:szCs w:val="20"/>
        </w:rPr>
      </w:r>
    </w:p>
    <w:p>
      <w:pPr>
        <w:spacing w:before="160" w:after="120" w:line="276" w:lineRule="auto"/>
        <w:jc w:val="both"/>
        <w:rPr>
          <w:sz w:val="20"/>
          <w:szCs w:val="20"/>
        </w:rPr>
      </w:pPr>
      <w:r>
        <w:rPr>
          <w:rFonts w:ascii="Arial" w:hAnsi="Arial" w:eastAsia="Arial"/>
          <w:b w:val="0"/>
          <w:sz w:val="20"/>
          <w:szCs w:val="20"/>
        </w:rPr>
        <w:t>Es grato dirigirme a usted, para saludarlo e informarle de las actividades realizadas en relación con el tercer entregable de la Orden de Servicio N° 02772-2026-S.</w:t>
      </w:r>
    </w:p>
    <w:p>
      <w:pPr>
        <w:spacing w:before="200" w:after="120" w:line="276" w:lineRule="auto"/>
        <w:rPr>
          <w:sz w:val="22"/>
          <w:szCs w:val="22"/>
        </w:rPr>
      </w:pPr>
      <w:r>
        <w:rPr>
          <w:rFonts w:ascii="Arial" w:hAnsi="Arial" w:eastAsia="Arial"/>
          <w:b/>
          <w:sz w:val="22"/>
          <w:szCs w:val="22"/>
        </w:rPr>
        <w:t>I. ANTECEDENTE</w:t>
      </w:r>
    </w:p>
    <w:p>
      <w:pPr>
        <w:spacing w:before="0" w:after="120" w:line="276" w:lineRule="auto"/>
        <w:jc w:val="both"/>
        <w:rPr>
          <w:sz w:val="20"/>
          <w:szCs w:val="20"/>
        </w:rPr>
      </w:pPr>
      <w:r>
        <w:rPr>
          <w:rFonts w:ascii="Arial" w:hAnsi="Arial" w:eastAsia="Arial"/>
          <w:b w:val="0"/>
          <w:sz w:val="20"/>
          <w:szCs w:val="20"/>
        </w:rPr>
        <w:t>1. Mediante la Orden de Servicio N° 02772-2026-S, de fecha 15 de julio de 2026, se contrataron mis servicios profesionales para el análisis y procesamiento de datos orientados a evaluar la efectividad de las estrategias de promoción del cumplimiento. El TDR (REQ N.° 3629-2026) establece que el universo de trabajo comprende los informes de supervisión y las multas coercitivas. El Primer Entregable consolidó y validó las fuentes. El Segundo Entregable depuró y dejó las bases finales. El presente informe da cuenta del Tercer Entregable: cuadros, gráficos y salidas analíticas (actividad g) y hallazgos técnicos con oportunidades de mejora (actividad h). Cada actividad se desarrolla primero para multas coercitivas y luego para informes de supervisión.</w:t>
      </w:r>
    </w:p>
    <w:p>
      <w:pPr>
        <w:spacing w:before="200" w:after="120" w:line="276" w:lineRule="auto"/>
        <w:rPr>
          <w:sz w:val="22"/>
          <w:szCs w:val="22"/>
        </w:rPr>
      </w:pPr>
      <w:r>
        <w:rPr>
          <w:rFonts w:ascii="Arial" w:hAnsi="Arial" w:eastAsia="Arial"/>
          <w:b/>
          <w:sz w:val="22"/>
          <w:szCs w:val="22"/>
        </w:rPr>
        <w:t>II. DESARROLLO</w:t>
      </w:r>
    </w:p>
    <w:p>
      <w:pPr>
        <w:spacing w:before="0" w:after="120" w:line="276" w:lineRule="auto"/>
        <w:jc w:val="both"/>
        <w:rPr>
          <w:sz w:val="20"/>
          <w:szCs w:val="20"/>
        </w:rPr>
      </w:pPr>
      <w:r>
        <w:rPr>
          <w:rFonts w:ascii="Arial" w:hAnsi="Arial" w:eastAsia="Arial"/>
          <w:b w:val="0"/>
          <w:sz w:val="20"/>
          <w:szCs w:val="20"/>
        </w:rPr>
        <w:t>2. Conforme al numeral 7 de los TDR, el tercer entregable detalla el cumplimiento de las actividades g) y h) del numeral 6, con el sustento en anexos. Son dos procesamientos distintos y dos modelos publicados. No existe llave que los convierta en un solo censo. El texto de las actividades es el siguiente:</w:t>
      </w:r>
    </w:p>
    <w:p>
      <w:pPr>
        <w:spacing w:before="0" w:after="120" w:line="276" w:lineRule="auto"/>
        <w:jc w:val="both"/>
        <w:rPr>
          <w:sz w:val="20"/>
          <w:szCs w:val="20"/>
        </w:rPr>
      </w:pPr>
      <w:r>
        <w:rPr>
          <w:rFonts w:ascii="Arial" w:hAnsi="Arial" w:eastAsia="Arial"/>
          <w:b w:val="0"/>
          <w:sz w:val="20"/>
          <w:szCs w:val="20"/>
        </w:rPr>
        <w:t>g) Elaborar cuadros estadísticos, gráficos y salidas analíticas que permitan describir el comportamiento de las estrategias de promoción del cumplimiento, así como comparar resultados por tipo de estrategia, período, materia, órgano o unidad responsable, según la disponibilidad de la información.</w:t>
      </w:r>
    </w:p>
    <w:p>
      <w:pPr>
        <w:spacing w:before="0" w:after="120" w:line="276" w:lineRule="auto"/>
        <w:jc w:val="both"/>
        <w:rPr>
          <w:sz w:val="20"/>
          <w:szCs w:val="20"/>
        </w:rPr>
      </w:pPr>
      <w:r>
        <w:rPr>
          <w:rFonts w:ascii="Arial" w:hAnsi="Arial" w:eastAsia="Arial"/>
          <w:b w:val="0"/>
          <w:sz w:val="20"/>
          <w:szCs w:val="20"/>
        </w:rPr>
        <w:t>h) Formular hallazgos técnicos y oportunidades de mejora a partir de los resultados del análisis, identificando patrones, brechas, limitaciones de la información y aspectos críticos vinculados a la efectividad de las estrategias de promoción del cumplimiento, a fin de generar insumos que contribuyan a la toma de decisiones y al fortalecimiento de la gestión institucional del OEFA.</w:t>
      </w:r>
    </w:p>
    <w:p>
      <w:pPr>
        <w:spacing w:before="0" w:after="120" w:line="276" w:lineRule="auto"/>
        <w:jc w:val="both"/>
        <w:rPr>
          <w:sz w:val="20"/>
          <w:szCs w:val="20"/>
        </w:rPr>
      </w:pPr>
      <w:r>
        <w:rPr>
          <w:rFonts w:ascii="Arial" w:hAnsi="Arial" w:eastAsia="Arial"/>
          <w:b w:val="0"/>
          <w:sz w:val="20"/>
          <w:szCs w:val="20"/>
        </w:rPr>
      </w:r>
    </w:p>
    <w:p>
      <w:pPr>
        <w:spacing w:before="0" w:after="120" w:line="276" w:lineRule="auto"/>
        <w:jc w:val="both"/>
        <w:rPr>
          <w:sz w:val="20"/>
          <w:szCs w:val="20"/>
        </w:rPr>
      </w:pPr>
      <w:r>
        <w:rPr>
          <w:rFonts w:ascii="Arial" w:hAnsi="Arial" w:eastAsia="Arial"/>
          <w:b w:val="0"/>
          <w:sz w:val="20"/>
          <w:szCs w:val="20"/>
        </w:rPr>
        <w:t>3. En lo que sigue, la actividad g) se expone en dos bloques —Multas e Informes— y la actividad h) se expone del mismo modo. Los cuadros de un bloque no se suman con los del otro.</w:t>
      </w:r>
    </w:p>
    <w:p>
      <w:pPr>
        <w:spacing w:before="160" w:after="120" w:line="276" w:lineRule="auto"/>
        <w:jc w:val="both"/>
        <w:rPr>
          <w:sz w:val="22"/>
          <w:szCs w:val="22"/>
        </w:rPr>
      </w:pPr>
      <w:r>
        <w:rPr>
          <w:rFonts w:ascii="Arial" w:hAnsi="Arial" w:eastAsia="Arial"/>
          <w:b/>
          <w:sz w:val="22"/>
          <w:szCs w:val="22"/>
        </w:rPr>
        <w:t>g) Elaborar cuadros estadísticos, gráficos y salidas analíticas que permitan describir el comportamiento de las estrategias de promoción del cumplimiento, así como comparar resultados por tipo de estrategia, período, materia, órgano o unidad responsable, según la disponibilidad de la información.</w:t>
      </w:r>
    </w:p>
    <w:p>
      <w:pPr>
        <w:spacing w:before="0" w:after="120" w:line="276" w:lineRule="auto"/>
        <w:jc w:val="both"/>
        <w:rPr>
          <w:sz w:val="20"/>
          <w:szCs w:val="20"/>
        </w:rPr>
      </w:pPr>
      <w:r>
        <w:rPr>
          <w:rFonts w:ascii="Arial" w:hAnsi="Arial" w:eastAsia="Arial"/>
          <w:b w:val="0"/>
          <w:sz w:val="20"/>
          <w:szCs w:val="20"/>
        </w:rPr>
        <w:t>Multas</w:t>
      </w:r>
    </w:p>
    <w:p>
      <w:pPr>
        <w:spacing w:before="120" w:after="120" w:line="276" w:lineRule="auto"/>
        <w:rPr>
          <w:sz w:val="20"/>
          <w:szCs w:val="20"/>
        </w:rPr>
      </w:pPr>
      <w:r>
        <w:rPr>
          <w:rFonts w:ascii="Arial" w:hAnsi="Arial" w:eastAsia="Arial"/>
          <w:b/>
          <w:sz w:val="20"/>
          <w:szCs w:val="20"/>
        </w:rPr>
        <w:t>Cuadro 1. Fuentes vigentes de multas coercitivas.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550"/>
        <w:gridCol w:w="2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sz w:val="20"/>
                <w:szCs w:val="20"/>
              </w:rPr>
              <w:t>Fuente</w:t>
            </w:r>
          </w:p>
        </w:tc>
        <w:tc>
          <w:tcPr>
            <w:tcW w:w="2351" w:type="dxa"/>
          </w:tcPr>
          <w:p>
            <w:pPr>
              <w:spacing w:after="0"/>
              <w:rPr>
                <w:sz w:val="20"/>
                <w:szCs w:val="20"/>
              </w:rPr>
            </w:pPr>
            <w:r>
              <w:rPr>
                <w:rFonts w:ascii="Arial" w:hAnsi="Arial" w:eastAsia="Arial"/>
                <w:b/>
                <w:sz w:val="20"/>
                <w:szCs w:val="20"/>
              </w:rPr>
              <w:t>ID</w:t>
            </w:r>
          </w:p>
        </w:tc>
        <w:tc>
          <w:tcPr>
            <w:tcW w:w="2351" w:type="dxa"/>
          </w:tcPr>
          <w:p>
            <w:pPr>
              <w:spacing w:after="0"/>
              <w:rPr>
                <w:sz w:val="20"/>
                <w:szCs w:val="20"/>
              </w:rPr>
            </w:pPr>
            <w:r>
              <w:rPr>
                <w:rFonts w:ascii="Arial" w:hAnsi="Arial" w:eastAsia="Arial"/>
                <w:b/>
                <w:sz w:val="20"/>
                <w:szCs w:val="20"/>
              </w:rPr>
              <w:t>Origen</w:t>
            </w:r>
          </w:p>
        </w:tc>
        <w:tc>
          <w:tcPr>
            <w:tcW w:w="2351" w:type="dxa"/>
          </w:tcPr>
          <w:p>
            <w:pPr>
              <w:spacing w:after="0"/>
              <w:rPr>
                <w:sz w:val="20"/>
                <w:szCs w:val="20"/>
              </w:rPr>
            </w:pPr>
            <w:r>
              <w:rPr>
                <w:rFonts w:ascii="Arial" w:hAnsi="Arial" w:eastAsia="Arial"/>
                <w:b/>
                <w:sz w:val="20"/>
                <w:szCs w:val="20"/>
              </w:rPr>
              <w:t>Uso en la salida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Planilla OD</w:t>
            </w:r>
          </w:p>
        </w:tc>
        <w:tc>
          <w:tcPr>
            <w:tcW w:w="2351" w:type="dxa"/>
          </w:tcPr>
          <w:p>
            <w:pPr>
              <w:spacing w:after="0"/>
              <w:rPr>
                <w:sz w:val="20"/>
                <w:szCs w:val="20"/>
              </w:rPr>
            </w:pPr>
            <w:r>
              <w:rPr>
                <w:rFonts w:ascii="Arial" w:hAnsi="Arial" w:eastAsia="Arial"/>
                <w:b w:val="0"/>
                <w:sz w:val="20"/>
                <w:szCs w:val="20"/>
              </w:rPr>
              <w:t>F1</w:t>
            </w:r>
          </w:p>
        </w:tc>
        <w:tc>
          <w:tcPr>
            <w:tcW w:w="2351" w:type="dxa"/>
          </w:tcPr>
          <w:p>
            <w:pPr>
              <w:spacing w:after="0"/>
              <w:rPr>
                <w:sz w:val="20"/>
                <w:szCs w:val="20"/>
              </w:rPr>
            </w:pPr>
            <w:r>
              <w:rPr>
                <w:rFonts w:ascii="Arial" w:hAnsi="Arial" w:eastAsia="Arial"/>
                <w:b w:val="0"/>
                <w:sz w:val="20"/>
                <w:szCs w:val="20"/>
              </w:rPr>
              <w:t>31 Google Sheets</w:t>
            </w:r>
          </w:p>
        </w:tc>
        <w:tc>
          <w:tcPr>
            <w:tcW w:w="2351" w:type="dxa"/>
          </w:tcPr>
          <w:p>
            <w:pPr>
              <w:spacing w:after="0"/>
              <w:rPr>
                <w:sz w:val="20"/>
                <w:szCs w:val="20"/>
              </w:rPr>
            </w:pPr>
            <w:r>
              <w:rPr>
                <w:rFonts w:ascii="Arial" w:hAnsi="Arial" w:eastAsia="Arial"/>
                <w:b w:val="0"/>
                <w:sz w:val="20"/>
                <w:szCs w:val="20"/>
              </w:rPr>
              <w:t>Censo territorial (≈ 281 en la corrida de referencia)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Planilla CSEP</w:t>
            </w:r>
          </w:p>
        </w:tc>
        <w:tc>
          <w:tcPr>
            <w:tcW w:w="2351" w:type="dxa"/>
          </w:tcPr>
          <w:p>
            <w:pPr>
              <w:spacing w:after="0"/>
              <w:rPr>
                <w:sz w:val="20"/>
                <w:szCs w:val="20"/>
              </w:rPr>
            </w:pPr>
            <w:r>
              <w:rPr>
                <w:rFonts w:ascii="Arial" w:hAnsi="Arial" w:eastAsia="Arial"/>
                <w:b w:val="0"/>
                <w:sz w:val="20"/>
                <w:szCs w:val="20"/>
              </w:rPr>
              <w:t>F2</w:t>
            </w:r>
          </w:p>
        </w:tc>
        <w:tc>
          <w:tcPr>
            <w:tcW w:w="2351" w:type="dxa"/>
          </w:tcPr>
          <w:p>
            <w:pPr>
              <w:spacing w:after="0"/>
              <w:rPr>
                <w:sz w:val="20"/>
                <w:szCs w:val="20"/>
              </w:rPr>
            </w:pPr>
            <w:r>
              <w:rPr>
                <w:rFonts w:ascii="Arial" w:hAnsi="Arial" w:eastAsia="Arial"/>
                <w:b w:val="0"/>
                <w:sz w:val="20"/>
                <w:szCs w:val="20"/>
              </w:rPr>
              <w:t>10 Google Sheets</w:t>
            </w:r>
          </w:p>
        </w:tc>
        <w:tc>
          <w:tcPr>
            <w:tcW w:w="2351" w:type="dxa"/>
          </w:tcPr>
          <w:p>
            <w:pPr>
              <w:spacing w:after="0"/>
              <w:rPr>
                <w:sz w:val="20"/>
                <w:szCs w:val="20"/>
              </w:rPr>
            </w:pPr>
            <w:r>
              <w:rPr>
                <w:rFonts w:ascii="Arial" w:hAnsi="Arial" w:eastAsia="Arial"/>
                <w:b w:val="0"/>
                <w:sz w:val="20"/>
                <w:szCs w:val="20"/>
              </w:rPr>
              <w:t>Censo por unidad CSEP (≈ 990)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rPr>
                <w:sz w:val="20"/>
                <w:szCs w:val="20"/>
              </w:rPr>
            </w:pPr>
            <w:r>
              <w:rPr>
                <w:rFonts w:ascii="Arial" w:hAnsi="Arial" w:eastAsia="Arial"/>
                <w:b w:val="0"/>
                <w:sz w:val="20"/>
                <w:szCs w:val="20"/>
              </w:rPr>
              <w:t>Vista SISUD</w:t>
            </w:r>
          </w:p>
        </w:tc>
        <w:tc>
          <w:tcPr>
            <w:tcW w:w="2351" w:type="dxa"/>
          </w:tcPr>
          <w:p>
            <w:pPr>
              <w:spacing w:after="0"/>
              <w:rPr>
                <w:sz w:val="20"/>
                <w:szCs w:val="20"/>
              </w:rPr>
            </w:pPr>
            <w:r>
              <w:rPr>
                <w:rFonts w:ascii="Arial" w:hAnsi="Arial" w:eastAsia="Arial"/>
                <w:b w:val="0"/>
                <w:sz w:val="20"/>
                <w:szCs w:val="20"/>
              </w:rPr>
              <w:t>F5</w:t>
            </w:r>
          </w:p>
        </w:tc>
        <w:tc>
          <w:tcPr>
            <w:tcW w:w="2351" w:type="dxa"/>
          </w:tcPr>
          <w:p>
            <w:pPr>
              <w:spacing w:after="0"/>
              <w:rPr>
                <w:sz w:val="20"/>
                <w:szCs w:val="20"/>
              </w:rPr>
            </w:pPr>
            <w:r>
              <w:rPr>
                <w:rFonts w:ascii="Arial" w:hAnsi="Arial" w:eastAsia="Arial"/>
                <w:b w:val="0"/>
                <w:sz w:val="20"/>
                <w:szCs w:val="20"/>
              </w:rPr>
              <w:t>Oracle, multas coercitivas</w:t>
            </w:r>
          </w:p>
        </w:tc>
        <w:tc>
          <w:tcPr>
            <w:tcW w:w="2351" w:type="dxa"/>
          </w:tcPr>
          <w:p>
            <w:pPr>
              <w:spacing w:after="0"/>
              <w:rPr>
                <w:sz w:val="20"/>
                <w:szCs w:val="20"/>
              </w:rPr>
            </w:pPr>
            <w:r>
              <w:rPr>
                <w:rFonts w:ascii="Arial" w:hAnsi="Arial" w:eastAsia="Arial"/>
                <w:b w:val="0"/>
                <w:sz w:val="20"/>
                <w:szCs w:val="20"/>
              </w:rPr>
              <w:t>Lookup CUM/CAM; no suma filas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Formulario GAPPS</w:t>
            </w:r>
          </w:p>
        </w:tc>
        <w:tc>
          <w:tcPr>
            <w:tcW w:w="2351" w:type="dxa"/>
          </w:tcPr>
          <w:p>
            <w:pPr>
              <w:spacing w:after="0"/>
              <w:rPr>
                <w:sz w:val="20"/>
                <w:szCs w:val="20"/>
              </w:rPr>
            </w:pPr>
            <w:r>
              <w:rPr>
                <w:rFonts w:ascii="Arial" w:hAnsi="Arial" w:eastAsia="Arial"/>
                <w:b w:val="0"/>
                <w:sz w:val="20"/>
                <w:szCs w:val="20"/>
              </w:rPr>
              <w:t>F4</w:t>
            </w:r>
          </w:p>
        </w:tc>
        <w:tc>
          <w:tcPr>
            <w:tcW w:w="2351" w:type="dxa"/>
          </w:tcPr>
          <w:p>
            <w:pPr>
              <w:spacing w:after="0"/>
              <w:rPr>
                <w:sz w:val="20"/>
                <w:szCs w:val="20"/>
              </w:rPr>
            </w:pPr>
            <w:r>
              <w:rPr>
                <w:rFonts w:ascii="Arial" w:hAnsi="Arial" w:eastAsia="Arial"/>
                <w:b w:val="0"/>
                <w:sz w:val="20"/>
                <w:szCs w:val="20"/>
              </w:rPr>
              <w:t>MySQL de origen</w:t>
            </w:r>
          </w:p>
        </w:tc>
        <w:tc>
          <w:tcPr>
            <w:tcW w:w="2351" w:type="dxa"/>
          </w:tcPr>
          <w:p>
            <w:pPr>
              <w:spacing w:after="0"/>
              <w:rPr>
                <w:sz w:val="20"/>
                <w:szCs w:val="20"/>
              </w:rPr>
            </w:pPr>
            <w:r>
              <w:rPr>
                <w:rFonts w:ascii="Arial" w:hAnsi="Arial" w:eastAsia="Arial"/>
                <w:b w:val="0"/>
                <w:sz w:val="20"/>
                <w:szCs w:val="20"/>
              </w:rPr>
              <w:t>Diseño en el fact; conteo no cerrado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Auditoría</w:t>
            </w:r>
          </w:p>
        </w:tc>
        <w:tc>
          <w:tcPr>
            <w:tcW w:w="2351" w:type="dxa"/>
          </w:tcPr>
          <w:p>
            <w:pPr>
              <w:spacing w:after="0"/>
              <w:rPr>
                <w:sz w:val="20"/>
                <w:szCs w:val="20"/>
              </w:rPr>
            </w:pPr>
            <w:r>
              <w:rPr>
                <w:rFonts w:ascii="Arial" w:hAnsi="Arial" w:eastAsia="Arial"/>
                <w:b w:val="0"/>
                <w:sz w:val="20"/>
                <w:szCs w:val="20"/>
              </w:rPr>
              <w:t>AUD</w:t>
            </w:r>
          </w:p>
        </w:tc>
        <w:tc>
          <w:tcPr>
            <w:tcW w:w="2351" w:type="dxa"/>
          </w:tcPr>
          <w:p>
            <w:pPr>
              <w:spacing w:after="0"/>
              <w:rPr>
                <w:sz w:val="20"/>
                <w:szCs w:val="20"/>
              </w:rPr>
            </w:pPr>
            <w:r>
              <w:rPr>
                <w:rFonts w:ascii="Arial" w:hAnsi="Arial" w:eastAsia="Arial"/>
                <w:b w:val="0"/>
                <w:sz w:val="20"/>
                <w:szCs w:val="20"/>
              </w:rPr>
              <w:t>Foto 1:1 de lo descargado</w:t>
            </w:r>
          </w:p>
        </w:tc>
        <w:tc>
          <w:tcPr>
            <w:tcW w:w="2351" w:type="dxa"/>
          </w:tcPr>
          <w:p>
            <w:pPr>
              <w:spacing w:after="0"/>
              <w:rPr>
                <w:sz w:val="20"/>
                <w:szCs w:val="20"/>
              </w:rPr>
            </w:pPr>
            <w:r>
              <w:rPr>
                <w:rFonts w:ascii="Arial" w:hAnsi="Arial" w:eastAsia="Arial"/>
                <w:b w:val="0"/>
                <w:sz w:val="20"/>
                <w:szCs w:val="20"/>
              </w:rPr>
              <w:t>Defensa de la cifra; no es el censo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Calidad</w:t>
            </w:r>
          </w:p>
        </w:tc>
        <w:tc>
          <w:tcPr>
            <w:tcW w:w="2351" w:type="dxa"/>
          </w:tcPr>
          <w:p>
            <w:pPr>
              <w:spacing w:after="0"/>
              <w:rPr>
                <w:sz w:val="20"/>
                <w:szCs w:val="20"/>
              </w:rPr>
            </w:pPr>
            <w:r>
              <w:rPr>
                <w:rFonts w:ascii="Arial" w:hAnsi="Arial" w:eastAsia="Arial"/>
                <w:b w:val="0"/>
                <w:sz w:val="20"/>
                <w:szCs w:val="20"/>
              </w:rPr>
              <w:t>DQ</w:t>
            </w:r>
          </w:p>
        </w:tc>
        <w:tc>
          <w:tcPr>
            <w:tcW w:w="2351" w:type="dxa"/>
          </w:tcPr>
          <w:p>
            <w:pPr>
              <w:spacing w:after="0"/>
              <w:rPr>
                <w:sz w:val="20"/>
                <w:szCs w:val="20"/>
              </w:rPr>
            </w:pPr>
            <w:r>
              <w:rPr>
                <w:rFonts w:ascii="Arial" w:hAnsi="Arial" w:eastAsia="Arial"/>
                <w:b w:val="0"/>
                <w:sz w:val="20"/>
                <w:szCs w:val="20"/>
              </w:rPr>
              <w:t>Reglas R01–R05</w:t>
            </w:r>
          </w:p>
        </w:tc>
        <w:tc>
          <w:tcPr>
            <w:tcW w:w="2351" w:type="dxa"/>
          </w:tcPr>
          <w:p>
            <w:pPr>
              <w:spacing w:after="0"/>
              <w:rPr>
                <w:sz w:val="20"/>
                <w:szCs w:val="20"/>
              </w:rPr>
            </w:pPr>
            <w:r>
              <w:rPr>
                <w:rFonts w:ascii="Arial" w:hAnsi="Arial" w:eastAsia="Arial"/>
                <w:b w:val="0"/>
                <w:sz w:val="20"/>
                <w:szCs w:val="20"/>
              </w:rPr>
              <w:t>DW_M_DQ_HALLAZGO; la fila permanece</w:t>
            </w:r>
          </w:p>
        </w:tc>
      </w:tr>
    </w:tbl>
    <w:p>
      <w:pPr>
        <w:spacing w:before="120" w:after="120" w:line="276" w:lineRule="auto"/>
        <w:jc w:val="both"/>
        <w:rPr>
          <w:sz w:val="20"/>
          <w:szCs w:val="20"/>
        </w:rPr>
      </w:pPr>
      <w:r>
        <w:rPr>
          <w:rFonts w:ascii="Arial" w:hAnsi="Arial" w:eastAsia="Arial"/>
          <w:b w:val="0"/>
          <w:sz w:val="20"/>
          <w:szCs w:val="20"/>
        </w:rPr>
        <w:t>4. La tabla de negocio de multas es DW_M_FACT_MULTA_COERCITIVA. Reúne las planillas de seguimiento: 31 oficinas desconcentradas (F1) y 10 unidades CSEP (F2). La vista institucional de multas pega CUM y CAM en la misma fila cuando coinciden la resolución normalizada y el monto UIT. Ese lookup no añade filas al censo. La última corrida verificada, anterior al cierre de conteo del formulario GAPPS (F4), registró ≈ 1 271 filas: ≈ 990 de planilla CSEP y ≈ 281 de planilla OD. En esa corrida, 153 filas CSEP y 64 filas OD traían CUM y CAM a la vez.</w:t>
      </w:r>
    </w:p>
    <w:p>
      <w:pPr>
        <w:spacing w:before="0" w:after="120" w:line="276" w:lineRule="auto"/>
        <w:jc w:val="both"/>
        <w:rPr>
          <w:sz w:val="20"/>
          <w:szCs w:val="20"/>
        </w:rPr>
      </w:pPr>
      <w:r>
        <w:rPr>
          <w:rFonts w:ascii="Arial" w:hAnsi="Arial" w:eastAsia="Arial"/>
          <w:b w:val="0"/>
          <w:sz w:val="20"/>
          <w:szCs w:val="20"/>
        </w:rPr>
        <w:t>5. El formulario GAPPS (F4) está incorporado al diseño del fact, sin lookup SISUD en esas filas, y con fotografía cruda en DW_M_AUD_F4_FORM. Su conteo no se cierra en este informe: la verificación quedó pendiente de la base de origen en vivo. El espejo MySQL del data warehouse de multas permanece en curso y no se cita como cifra. No se presentan como objetos de esta corrida los indicadores K1–K5, las vistas por universo ni las tablas de amarre: el esquema canónico los dejó fuera del runtime.</w:t>
      </w:r>
    </w:p>
    <w:p>
      <w:pPr>
        <w:spacing w:before="0" w:after="120" w:line="276" w:lineRule="auto"/>
        <w:rPr>
          <w:sz w:val="20"/>
          <w:szCs w:val="20"/>
        </w:rPr>
      </w:pPr>
      <w:r>
        <w:rPr>
          <w:rFonts w:ascii="Arial" w:hAnsi="Arial" w:eastAsia="Arial"/>
          <w:b/>
          <w:sz w:val="20"/>
          <w:szCs w:val="20"/>
        </w:rPr>
        <w:t>Cuadro 2. Cortes analíticos de multas coercitivas.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Corte del TDR</w:t>
            </w:r>
          </w:p>
        </w:tc>
        <w:tc>
          <w:tcPr>
            <w:tcW w:w="3135" w:type="dxa"/>
          </w:tcPr>
          <w:p>
            <w:pPr>
              <w:spacing w:after="0"/>
              <w:rPr>
                <w:sz w:val="20"/>
                <w:szCs w:val="20"/>
              </w:rPr>
            </w:pPr>
            <w:r>
              <w:rPr>
                <w:rFonts w:ascii="Arial" w:hAnsi="Arial" w:eastAsia="Arial"/>
                <w:b/>
                <w:sz w:val="20"/>
                <w:szCs w:val="20"/>
              </w:rPr>
              <w:t>Cómo se agrupa</w:t>
            </w:r>
          </w:p>
        </w:tc>
        <w:tc>
          <w:tcPr>
            <w:tcW w:w="3135" w:type="dxa"/>
          </w:tcPr>
          <w:p>
            <w:pPr>
              <w:spacing w:after="0"/>
              <w:rPr>
                <w:sz w:val="20"/>
                <w:szCs w:val="20"/>
              </w:rPr>
            </w:pPr>
            <w:r>
              <w:rPr>
                <w:rFonts w:ascii="Arial" w:hAnsi="Arial" w:eastAsia="Arial"/>
                <w:b/>
                <w:sz w:val="20"/>
                <w:szCs w:val="20"/>
              </w:rPr>
              <w:t>Denominador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Tipo de seguimiento</w:t>
            </w:r>
          </w:p>
        </w:tc>
        <w:tc>
          <w:tcPr>
            <w:tcW w:w="3135" w:type="dxa"/>
          </w:tcPr>
          <w:p>
            <w:pPr>
              <w:spacing w:after="0"/>
              <w:rPr>
                <w:sz w:val="20"/>
                <w:szCs w:val="20"/>
              </w:rPr>
            </w:pPr>
            <w:r>
              <w:rPr>
                <w:rFonts w:ascii="Arial" w:hAnsi="Arial" w:eastAsia="Arial"/>
                <w:b w:val="0"/>
                <w:sz w:val="20"/>
                <w:szCs w:val="20"/>
              </w:rPr>
              <w:t>Planilla CSEP (F2) u OD (F1); estado de la multa</w:t>
            </w:r>
          </w:p>
        </w:tc>
        <w:tc>
          <w:tcPr>
            <w:tcW w:w="3135" w:type="dxa"/>
          </w:tcPr>
          <w:p>
            <w:pPr>
              <w:spacing w:after="0"/>
              <w:rPr>
                <w:sz w:val="20"/>
                <w:szCs w:val="20"/>
              </w:rPr>
            </w:pPr>
            <w:r>
              <w:rPr>
                <w:rFonts w:ascii="Arial" w:hAnsi="Arial" w:eastAsia="Arial"/>
                <w:b w:val="0"/>
                <w:sz w:val="20"/>
                <w:szCs w:val="20"/>
              </w:rPr>
              <w:t>≈ 990 o ≈ 281, no la suma con la vista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Periodo</w:t>
            </w:r>
          </w:p>
        </w:tc>
        <w:tc>
          <w:tcPr>
            <w:tcW w:w="3135" w:type="dxa"/>
          </w:tcPr>
          <w:p>
            <w:pPr>
              <w:spacing w:after="0"/>
              <w:rPr>
                <w:sz w:val="20"/>
                <w:szCs w:val="20"/>
              </w:rPr>
            </w:pPr>
            <w:r>
              <w:rPr>
                <w:rFonts w:ascii="Arial" w:hAnsi="Arial" w:eastAsia="Arial"/>
                <w:b w:val="0"/>
                <w:sz w:val="20"/>
                <w:szCs w:val="20"/>
              </w:rPr>
              <w:t>Año o mes de notificación, firma o vencimiento</w:t>
            </w:r>
          </w:p>
        </w:tc>
        <w:tc>
          <w:tcPr>
            <w:tcW w:w="3135" w:type="dxa"/>
          </w:tcPr>
          <w:p>
            <w:pPr>
              <w:spacing w:after="0"/>
              <w:rPr>
                <w:sz w:val="20"/>
                <w:szCs w:val="20"/>
              </w:rPr>
            </w:pPr>
            <w:r>
              <w:rPr>
                <w:rFonts w:ascii="Arial" w:hAnsi="Arial" w:eastAsia="Arial"/>
                <w:b w:val="0"/>
                <w:sz w:val="20"/>
                <w:szCs w:val="20"/>
              </w:rPr>
              <w:t>Solo filas con fecha válida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Materia / órgano</w:t>
            </w:r>
          </w:p>
        </w:tc>
        <w:tc>
          <w:tcPr>
            <w:tcW w:w="3135" w:type="dxa"/>
          </w:tcPr>
          <w:p>
            <w:pPr>
              <w:spacing w:after="0"/>
              <w:rPr>
                <w:sz w:val="20"/>
                <w:szCs w:val="20"/>
              </w:rPr>
            </w:pPr>
            <w:r>
              <w:rPr>
                <w:rFonts w:ascii="Arial" w:hAnsi="Arial" w:eastAsia="Arial"/>
                <w:b w:val="0"/>
                <w:sz w:val="20"/>
                <w:szCs w:val="20"/>
              </w:rPr>
              <w:t>Unidad CSEP (10)</w:t>
            </w:r>
          </w:p>
        </w:tc>
        <w:tc>
          <w:tcPr>
            <w:tcW w:w="3135" w:type="dxa"/>
          </w:tcPr>
          <w:p>
            <w:pPr>
              <w:spacing w:after="0"/>
              <w:rPr>
                <w:sz w:val="20"/>
                <w:szCs w:val="20"/>
              </w:rPr>
            </w:pPr>
            <w:r>
              <w:rPr>
                <w:rFonts w:ascii="Arial" w:hAnsi="Arial" w:eastAsia="Arial"/>
                <w:b w:val="0"/>
                <w:sz w:val="20"/>
                <w:szCs w:val="20"/>
              </w:rPr>
              <w:t>Planilla CSEP ≈ 990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Unidad territorial</w:t>
            </w:r>
          </w:p>
        </w:tc>
        <w:tc>
          <w:tcPr>
            <w:tcW w:w="3135" w:type="dxa"/>
          </w:tcPr>
          <w:p>
            <w:pPr>
              <w:spacing w:after="0"/>
              <w:rPr>
                <w:sz w:val="20"/>
                <w:szCs w:val="20"/>
              </w:rPr>
            </w:pPr>
            <w:r>
              <w:rPr>
                <w:rFonts w:ascii="Arial" w:hAnsi="Arial" w:eastAsia="Arial"/>
                <w:b w:val="0"/>
                <w:sz w:val="20"/>
                <w:szCs w:val="20"/>
              </w:rPr>
              <w:t>Oficina OD (31)</w:t>
            </w:r>
          </w:p>
        </w:tc>
        <w:tc>
          <w:tcPr>
            <w:tcW w:w="3135" w:type="dxa"/>
          </w:tcPr>
          <w:p>
            <w:pPr>
              <w:spacing w:after="0"/>
              <w:rPr>
                <w:sz w:val="20"/>
                <w:szCs w:val="20"/>
              </w:rPr>
            </w:pPr>
            <w:r>
              <w:rPr>
                <w:rFonts w:ascii="Arial" w:hAnsi="Arial" w:eastAsia="Arial"/>
                <w:b w:val="0"/>
                <w:sz w:val="20"/>
                <w:szCs w:val="20"/>
              </w:rPr>
              <w:t>Planilla OD ≈ 281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Monto</w:t>
            </w:r>
          </w:p>
        </w:tc>
        <w:tc>
          <w:tcPr>
            <w:tcW w:w="3135" w:type="dxa"/>
          </w:tcPr>
          <w:p>
            <w:pPr>
              <w:spacing w:after="0"/>
              <w:rPr>
                <w:sz w:val="20"/>
                <w:szCs w:val="20"/>
              </w:rPr>
            </w:pPr>
            <w:r>
              <w:rPr>
                <w:rFonts w:ascii="Arial" w:hAnsi="Arial" w:eastAsia="Arial"/>
                <w:b w:val="0"/>
                <w:sz w:val="20"/>
                <w:szCs w:val="20"/>
              </w:rPr>
              <w:t>MONTO_UIT / MONTO_S en la misma fila</w:t>
            </w:r>
          </w:p>
        </w:tc>
        <w:tc>
          <w:tcPr>
            <w:tcW w:w="3135" w:type="dxa"/>
          </w:tcPr>
          <w:p>
            <w:pPr>
              <w:spacing w:after="0"/>
              <w:rPr>
                <w:sz w:val="20"/>
                <w:szCs w:val="20"/>
              </w:rPr>
            </w:pPr>
            <w:r>
              <w:rPr>
                <w:rFonts w:ascii="Arial" w:hAnsi="Arial" w:eastAsia="Arial"/>
                <w:b w:val="0"/>
                <w:sz w:val="20"/>
                <w:szCs w:val="20"/>
              </w:rPr>
              <w:t>No es un conteo de multas</w:t>
            </w:r>
          </w:p>
        </w:tc>
      </w:tr>
    </w:tbl>
    <w:p>
      <w:pPr>
        <w:numPr>
          <w:numId w:val="0"/>
        </w:numPr>
        <w:spacing w:before="0" w:after="120" w:line="276" w:lineRule="auto"/>
        <w:jc w:val="both"/>
        <w:rPr>
          <w:rFonts w:ascii="Arial" w:hAnsi="Arial" w:eastAsia="Arial"/>
          <w:b w:val="0"/>
          <w:sz w:val="20"/>
          <w:szCs w:val="20"/>
        </w:rPr>
      </w:pPr>
      <w:r>
        <w:t>6. Cortes de la actividad g) en multas. Se compara por tipo de seguimiento (CSEP u OD), por periodo (notificación, firma o vencimiento), por materia u órgano (las 10 unidades CSEP) y por unidad territorial (las 31 OD). El monto UIT y el estado de la multa describen la medida. El gráfico declara su denominador: planilla CSEP (≈ 990), planilla OD (≈ 281) o el censo de planillas (≈ 1 271). No se admite un total que sume la vista SISUD encima de las planillas.</w:t>
      </w:r>
    </w:p>
    <w:p>
      <w:pPr>
        <w:numPr>
          <w:numId w:val="0"/>
        </w:numPr>
        <w:spacing w:before="0" w:after="120" w:line="276" w:lineRule="auto"/>
        <w:jc w:val="both"/>
        <w:rPr>
          <w:rFonts w:ascii="Arial" w:hAnsi="Arial" w:eastAsia="Arial"/>
          <w:b w:val="0"/>
          <w:sz w:val="20"/>
          <w:szCs w:val="20"/>
        </w:rPr>
      </w:pPr>
    </w:p>
    <w:p>
      <w:pPr>
        <w:numPr>
          <w:ilvl w:val="0"/>
          <w:numId w:val="7"/>
        </w:numPr>
        <w:spacing w:before="0" w:after="120" w:line="276" w:lineRule="auto"/>
        <w:jc w:val="both"/>
        <w:rPr>
          <w:rFonts w:ascii="Arial" w:hAnsi="Arial" w:eastAsia="Arial"/>
          <w:b w:val="0"/>
          <w:sz w:val="20"/>
          <w:szCs w:val="20"/>
        </w:rPr>
      </w:pPr>
      <w:r>
        <w:rPr>
          <w:rFonts w:ascii="Arial" w:hAnsi="Arial" w:eastAsia="Arial"/>
          <w:b w:val="0"/>
          <w:sz w:val="20"/>
          <w:szCs w:val="20"/>
        </w:rPr>
        <w:t>7. Salidas. Si la pregunta es cuántas multas hay en seguimiento y de qué órgano u oficina, se abre DW_M_FACT_MULTA_COERCITIVA. El ciclo (notificación, firma, vencimiento) y el monto se leen en esa misma tabla. Las etapas operativas, cuando la pregunta es de trámite y no de censo, se leen en DW_M_DET_ETAPA_MC y no se cuentan como multas nuevas. Los defectos R01–R05 permanecen en DW_M_DQ_HALLAZGO; la fila de la multa no se borra.</w:t>
      </w:r>
    </w:p>
    <w:p>
      <w:pPr>
        <w:spacing w:before="0" w:after="120" w:line="276" w:lineRule="auto"/>
        <w:rPr>
          <w:rFonts w:ascii="Arial" w:hAnsi="Arial" w:eastAsia="Arial"/>
          <w:b/>
          <w:sz w:val="20"/>
          <w:szCs w:val="20"/>
        </w:rPr>
      </w:pPr>
    </w:p>
    <w:p>
      <w:pPr>
        <w:spacing w:before="0" w:after="120" w:line="276" w:lineRule="auto"/>
        <w:rPr>
          <w:sz w:val="20"/>
          <w:szCs w:val="20"/>
        </w:rPr>
      </w:pPr>
      <w:r>
        <w:rPr>
          <w:rFonts w:ascii="Arial" w:hAnsi="Arial" w:eastAsia="Arial"/>
          <w:b/>
          <w:sz w:val="20"/>
          <w:szCs w:val="20"/>
        </w:rPr>
        <w:t>Cuadro 3. Salidas analíticas de multas coercitivas.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3584"/>
        <w:gridCol w:w="30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Pregunta</w:t>
            </w:r>
          </w:p>
        </w:tc>
        <w:tc>
          <w:tcPr>
            <w:tcW w:w="3135" w:type="dxa"/>
          </w:tcPr>
          <w:p>
            <w:pPr>
              <w:spacing w:after="0"/>
              <w:rPr>
                <w:sz w:val="20"/>
                <w:szCs w:val="20"/>
              </w:rPr>
            </w:pPr>
            <w:r>
              <w:rPr>
                <w:rFonts w:ascii="Arial" w:hAnsi="Arial" w:eastAsia="Arial"/>
                <w:b/>
                <w:sz w:val="20"/>
                <w:szCs w:val="20"/>
              </w:rPr>
              <w:t>Tabla</w:t>
            </w:r>
          </w:p>
        </w:tc>
        <w:tc>
          <w:tcPr>
            <w:tcW w:w="3135" w:type="dxa"/>
          </w:tcPr>
          <w:p>
            <w:pPr>
              <w:spacing w:after="0"/>
              <w:rPr>
                <w:sz w:val="20"/>
                <w:szCs w:val="20"/>
              </w:rPr>
            </w:pPr>
            <w:r>
              <w:rPr>
                <w:rFonts w:ascii="Arial" w:hAnsi="Arial" w:eastAsia="Arial"/>
                <w:b/>
                <w:sz w:val="20"/>
                <w:szCs w:val="20"/>
              </w:rPr>
              <w:t>Qué no responde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¿Cuántas multas hay en seguimiento?</w:t>
            </w:r>
          </w:p>
        </w:tc>
        <w:tc>
          <w:tcPr>
            <w:tcW w:w="3135" w:type="dxa"/>
          </w:tcPr>
          <w:p>
            <w:pPr>
              <w:spacing w:after="0"/>
              <w:rPr>
                <w:sz w:val="20"/>
                <w:szCs w:val="20"/>
              </w:rPr>
            </w:pPr>
            <w:r>
              <w:rPr>
                <w:rFonts w:ascii="Arial" w:hAnsi="Arial" w:eastAsia="Arial"/>
                <w:b w:val="0"/>
                <w:sz w:val="20"/>
                <w:szCs w:val="20"/>
              </w:rPr>
              <w:t>DW_M_FACT_MULTA_COERCITIVA</w:t>
            </w:r>
          </w:p>
        </w:tc>
        <w:tc>
          <w:tcPr>
            <w:tcW w:w="3135" w:type="dxa"/>
          </w:tcPr>
          <w:p>
            <w:pPr>
              <w:spacing w:after="0"/>
              <w:rPr>
                <w:sz w:val="20"/>
                <w:szCs w:val="20"/>
              </w:rPr>
            </w:pPr>
            <w:r>
              <w:rPr>
                <w:rFonts w:ascii="Arial" w:hAnsi="Arial" w:eastAsia="Arial"/>
                <w:b w:val="0"/>
                <w:sz w:val="20"/>
                <w:szCs w:val="20"/>
              </w:rPr>
              <w:t>No incluye la vista como filas extra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¿De qué unidad CSEP o qué OD?</w:t>
            </w:r>
          </w:p>
        </w:tc>
        <w:tc>
          <w:tcPr>
            <w:tcW w:w="3135" w:type="dxa"/>
          </w:tcPr>
          <w:p>
            <w:pPr>
              <w:spacing w:after="0"/>
              <w:rPr>
                <w:sz w:val="20"/>
                <w:szCs w:val="20"/>
              </w:rPr>
            </w:pPr>
            <w:r>
              <w:rPr>
                <w:rFonts w:ascii="Arial" w:hAnsi="Arial" w:eastAsia="Arial"/>
                <w:b w:val="0"/>
                <w:sz w:val="20"/>
                <w:szCs w:val="20"/>
              </w:rPr>
              <w:t>La misma tabla, agrupada</w:t>
            </w:r>
          </w:p>
        </w:tc>
        <w:tc>
          <w:tcPr>
            <w:tcW w:w="3135" w:type="dxa"/>
          </w:tcPr>
          <w:p>
            <w:pPr>
              <w:spacing w:after="0"/>
              <w:rPr>
                <w:sz w:val="20"/>
                <w:szCs w:val="20"/>
              </w:rPr>
            </w:pPr>
            <w:r>
              <w:rPr>
                <w:rFonts w:ascii="Arial" w:hAnsi="Arial" w:eastAsia="Arial"/>
                <w:b w:val="0"/>
                <w:sz w:val="20"/>
                <w:szCs w:val="20"/>
              </w:rPr>
              <w:t>No un total CSEP+OD+SISUD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¿En qué plazo del ciclo?</w:t>
            </w:r>
          </w:p>
        </w:tc>
        <w:tc>
          <w:tcPr>
            <w:tcW w:w="3135" w:type="dxa"/>
          </w:tcPr>
          <w:p>
            <w:pPr>
              <w:spacing w:after="0"/>
              <w:rPr>
                <w:sz w:val="20"/>
                <w:szCs w:val="20"/>
              </w:rPr>
            </w:pPr>
            <w:r>
              <w:rPr>
                <w:rFonts w:ascii="Arial" w:hAnsi="Arial" w:eastAsia="Arial"/>
                <w:b w:val="0"/>
                <w:sz w:val="20"/>
                <w:szCs w:val="20"/>
              </w:rPr>
              <w:t>Fechas de la misma fila</w:t>
            </w:r>
          </w:p>
        </w:tc>
        <w:tc>
          <w:tcPr>
            <w:tcW w:w="3135" w:type="dxa"/>
          </w:tcPr>
          <w:p>
            <w:pPr>
              <w:spacing w:after="0"/>
              <w:rPr>
                <w:sz w:val="20"/>
                <w:szCs w:val="20"/>
              </w:rPr>
            </w:pPr>
            <w:r>
              <w:rPr>
                <w:rFonts w:ascii="Arial" w:hAnsi="Arial" w:eastAsia="Arial"/>
                <w:b w:val="0"/>
                <w:sz w:val="20"/>
                <w:szCs w:val="20"/>
              </w:rPr>
              <w:t>Las etapas no son multas nuevas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¿Trae CUM/CAM?</w:t>
            </w:r>
          </w:p>
        </w:tc>
        <w:tc>
          <w:tcPr>
            <w:tcW w:w="3135" w:type="dxa"/>
          </w:tcPr>
          <w:p>
            <w:pPr>
              <w:spacing w:after="0"/>
              <w:rPr>
                <w:sz w:val="20"/>
                <w:szCs w:val="20"/>
              </w:rPr>
            </w:pPr>
            <w:r>
              <w:rPr>
                <w:rFonts w:ascii="Arial" w:hAnsi="Arial" w:eastAsia="Arial"/>
                <w:b w:val="0"/>
                <w:sz w:val="20"/>
                <w:szCs w:val="20"/>
              </w:rPr>
              <w:t>Lookup en la misma fila</w:t>
            </w:r>
          </w:p>
        </w:tc>
        <w:tc>
          <w:tcPr>
            <w:tcW w:w="3135" w:type="dxa"/>
          </w:tcPr>
          <w:p>
            <w:pPr>
              <w:spacing w:after="0"/>
              <w:rPr>
                <w:sz w:val="20"/>
                <w:szCs w:val="20"/>
              </w:rPr>
            </w:pPr>
            <w:r>
              <w:rPr>
                <w:rFonts w:ascii="Arial" w:hAnsi="Arial" w:eastAsia="Arial"/>
                <w:b w:val="0"/>
                <w:sz w:val="20"/>
                <w:szCs w:val="20"/>
              </w:rPr>
              <w:t>La ausencia no saca la multa del censo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¿Qué falló calidad?</w:t>
            </w:r>
          </w:p>
        </w:tc>
        <w:tc>
          <w:tcPr>
            <w:tcW w:w="3135" w:type="dxa"/>
          </w:tcPr>
          <w:p>
            <w:pPr>
              <w:spacing w:after="0"/>
              <w:rPr>
                <w:sz w:val="20"/>
                <w:szCs w:val="20"/>
              </w:rPr>
            </w:pPr>
            <w:r>
              <w:rPr>
                <w:rFonts w:ascii="Arial" w:hAnsi="Arial" w:eastAsia="Arial"/>
                <w:b w:val="0"/>
                <w:sz w:val="20"/>
                <w:szCs w:val="20"/>
              </w:rPr>
              <w:t>DW_M_DQ_HALLAZGO</w:t>
            </w:r>
          </w:p>
        </w:tc>
        <w:tc>
          <w:tcPr>
            <w:tcW w:w="3135" w:type="dxa"/>
          </w:tcPr>
          <w:p>
            <w:pPr>
              <w:spacing w:after="0"/>
              <w:rPr>
                <w:sz w:val="20"/>
                <w:szCs w:val="20"/>
              </w:rPr>
            </w:pPr>
            <w:r>
              <w:rPr>
                <w:rFonts w:ascii="Arial" w:hAnsi="Arial" w:eastAsia="Arial"/>
                <w:b w:val="0"/>
                <w:sz w:val="20"/>
                <w:szCs w:val="20"/>
              </w:rPr>
              <w:t>No reduce el censo de ≈ 1 271</w:t>
            </w:r>
          </w:p>
        </w:tc>
      </w:tr>
    </w:tbl>
    <w:p>
      <w:pPr>
        <w:spacing w:before="120" w:after="120" w:line="276" w:lineRule="auto"/>
        <w:jc w:val="both"/>
        <w:rPr>
          <w:sz w:val="20"/>
          <w:szCs w:val="20"/>
        </w:rPr>
      </w:pPr>
      <w:r>
        <w:rPr>
          <w:rFonts w:ascii="Arial" w:hAnsi="Arial" w:eastAsia="Arial"/>
          <w:b w:val="0"/>
          <w:sz w:val="20"/>
          <w:szCs w:val="20"/>
        </w:rPr>
        <w:t>8. Sustento de multas en la actividad g): Anexo G-1, carpeta “Actividad G”.</w:t>
      </w:r>
    </w:p>
    <w:p>
      <w:pPr>
        <w:spacing w:before="160" w:after="120" w:line="276" w:lineRule="auto"/>
        <w:jc w:val="both"/>
        <w:rPr>
          <w:sz w:val="22"/>
          <w:szCs w:val="22"/>
        </w:rPr>
      </w:pPr>
      <w:r>
        <w:rPr>
          <w:rFonts w:ascii="Arial" w:hAnsi="Arial" w:eastAsia="Arial"/>
          <w:b/>
          <w:sz w:val="22"/>
          <w:szCs w:val="22"/>
        </w:rPr>
        <w:t>Informes</w:t>
      </w:r>
    </w:p>
    <w:p>
      <w:pPr>
        <w:spacing w:before="0" w:after="120" w:line="276" w:lineRule="auto"/>
        <w:jc w:val="both"/>
        <w:rPr>
          <w:sz w:val="20"/>
          <w:szCs w:val="20"/>
        </w:rPr>
      </w:pPr>
      <w:r>
        <w:rPr>
          <w:rFonts w:ascii="Arial" w:hAnsi="Arial" w:eastAsia="Arial"/>
          <w:b w:val="0"/>
          <w:sz w:val="20"/>
          <w:szCs w:val="20"/>
        </w:rPr>
        <w:t>9. El procesamiento de informes de supervisión publica tres tablas en paralelo. No son un solo censo y no se unen con las multas. DW_INF_CONSOL_RDATA es el consolidado histórico de sede (BD) y oficinas (OD), años 2019 a 2026. DW_INF_CONSOL_FORM es el formulario vigente. DW_INF_CSEP_INFORMES_VIEW es la vista institucional de actividades y ciclo. Contar una tabla y sumarle otra cambia la pregunta.</w:t>
      </w:r>
    </w:p>
    <w:p>
      <w:pPr>
        <w:spacing w:before="0" w:after="120" w:line="276" w:lineRule="auto"/>
        <w:rPr>
          <w:sz w:val="20"/>
          <w:szCs w:val="20"/>
        </w:rPr>
      </w:pPr>
      <w:r>
        <w:rPr>
          <w:rFonts w:ascii="Arial" w:hAnsi="Arial" w:eastAsia="Arial"/>
          <w:b/>
          <w:sz w:val="20"/>
          <w:szCs w:val="20"/>
        </w:rPr>
        <w:t>Cuadro 4. Fuentes vigentes de informes de supervisión.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Tabla publicada</w:t>
            </w:r>
          </w:p>
        </w:tc>
        <w:tc>
          <w:tcPr>
            <w:tcW w:w="3135" w:type="dxa"/>
          </w:tcPr>
          <w:p>
            <w:pPr>
              <w:spacing w:after="0"/>
              <w:rPr>
                <w:sz w:val="20"/>
                <w:szCs w:val="20"/>
              </w:rPr>
            </w:pPr>
            <w:r>
              <w:rPr>
                <w:rFonts w:ascii="Arial" w:hAnsi="Arial" w:eastAsia="Arial"/>
                <w:b/>
                <w:sz w:val="20"/>
                <w:szCs w:val="20"/>
              </w:rPr>
              <w:t>Qué es</w:t>
            </w:r>
          </w:p>
        </w:tc>
        <w:tc>
          <w:tcPr>
            <w:tcW w:w="3135" w:type="dxa"/>
          </w:tcPr>
          <w:p>
            <w:pPr>
              <w:spacing w:after="0"/>
              <w:rPr>
                <w:sz w:val="20"/>
                <w:szCs w:val="20"/>
              </w:rPr>
            </w:pPr>
            <w:r>
              <w:rPr>
                <w:rFonts w:ascii="Arial" w:hAnsi="Arial" w:eastAsia="Arial"/>
                <w:b/>
                <w:sz w:val="20"/>
                <w:szCs w:val="20"/>
              </w:rPr>
              <w:t>Cuándo se actualiza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DW_INF_CONSOL_RDATA</w:t>
            </w:r>
          </w:p>
        </w:tc>
        <w:tc>
          <w:tcPr>
            <w:tcW w:w="3135" w:type="dxa"/>
          </w:tcPr>
          <w:p>
            <w:pPr>
              <w:spacing w:after="0"/>
              <w:rPr>
                <w:sz w:val="20"/>
                <w:szCs w:val="20"/>
              </w:rPr>
            </w:pPr>
            <w:r>
              <w:rPr>
                <w:rFonts w:ascii="Arial" w:hAnsi="Arial" w:eastAsia="Arial"/>
                <w:b w:val="0"/>
                <w:sz w:val="20"/>
                <w:szCs w:val="20"/>
              </w:rPr>
              <w:t>Consolidado histórico BD ∪ OD, 2019–2026</w:t>
            </w:r>
          </w:p>
        </w:tc>
        <w:tc>
          <w:tcPr>
            <w:tcW w:w="3135" w:type="dxa"/>
          </w:tcPr>
          <w:p>
            <w:pPr>
              <w:spacing w:after="0"/>
              <w:rPr>
                <w:sz w:val="20"/>
                <w:szCs w:val="20"/>
              </w:rPr>
            </w:pPr>
            <w:r>
              <w:rPr>
                <w:rFonts w:ascii="Arial" w:hAnsi="Arial" w:eastAsia="Arial"/>
                <w:b w:val="0"/>
                <w:sz w:val="20"/>
                <w:szCs w:val="20"/>
              </w:rPr>
              <w:t>Bajo demanda (respaldo)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DW_INF_CONSOL_FORM</w:t>
            </w:r>
          </w:p>
        </w:tc>
        <w:tc>
          <w:tcPr>
            <w:tcW w:w="3135" w:type="dxa"/>
          </w:tcPr>
          <w:p>
            <w:pPr>
              <w:spacing w:after="0"/>
              <w:rPr>
                <w:sz w:val="20"/>
                <w:szCs w:val="20"/>
              </w:rPr>
            </w:pPr>
            <w:r>
              <w:rPr>
                <w:rFonts w:ascii="Arial" w:hAnsi="Arial" w:eastAsia="Arial"/>
                <w:b w:val="0"/>
                <w:sz w:val="20"/>
                <w:szCs w:val="20"/>
              </w:rPr>
              <w:t>Formulario vigente</w:t>
            </w:r>
          </w:p>
        </w:tc>
        <w:tc>
          <w:tcPr>
            <w:tcW w:w="3135" w:type="dxa"/>
          </w:tcPr>
          <w:p>
            <w:pPr>
              <w:spacing w:after="0"/>
              <w:rPr>
                <w:sz w:val="20"/>
                <w:szCs w:val="20"/>
              </w:rPr>
            </w:pPr>
            <w:r>
              <w:rPr>
                <w:rFonts w:ascii="Arial" w:hAnsi="Arial" w:eastAsia="Arial"/>
                <w:b w:val="0"/>
                <w:sz w:val="20"/>
                <w:szCs w:val="20"/>
              </w:rPr>
              <w:t>Corrida diaria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DW_INF_CSEP_INFORMES_VIEW</w:t>
            </w:r>
          </w:p>
        </w:tc>
        <w:tc>
          <w:tcPr>
            <w:tcW w:w="3135" w:type="dxa"/>
          </w:tcPr>
          <w:p>
            <w:pPr>
              <w:spacing w:after="0"/>
              <w:rPr>
                <w:sz w:val="20"/>
                <w:szCs w:val="20"/>
              </w:rPr>
            </w:pPr>
            <w:r>
              <w:rPr>
                <w:rFonts w:ascii="Arial" w:hAnsi="Arial" w:eastAsia="Arial"/>
                <w:b w:val="0"/>
                <w:sz w:val="20"/>
                <w:szCs w:val="20"/>
              </w:rPr>
              <w:t>Vista institucional de actividades y ciclo</w:t>
            </w:r>
          </w:p>
        </w:tc>
        <w:tc>
          <w:tcPr>
            <w:tcW w:w="3135" w:type="dxa"/>
          </w:tcPr>
          <w:p>
            <w:pPr>
              <w:spacing w:after="0"/>
              <w:rPr>
                <w:sz w:val="20"/>
                <w:szCs w:val="20"/>
              </w:rPr>
            </w:pPr>
            <w:r>
              <w:rPr>
                <w:rFonts w:ascii="Arial" w:hAnsi="Arial" w:eastAsia="Arial"/>
                <w:b w:val="0"/>
                <w:sz w:val="20"/>
                <w:szCs w:val="20"/>
              </w:rPr>
              <w:t>Corrida diaria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PK_OFICINA</w:t>
            </w:r>
          </w:p>
        </w:tc>
        <w:tc>
          <w:tcPr>
            <w:tcW w:w="3135" w:type="dxa"/>
          </w:tcPr>
          <w:p>
            <w:pPr>
              <w:spacing w:after="0"/>
              <w:rPr>
                <w:sz w:val="20"/>
                <w:szCs w:val="20"/>
              </w:rPr>
            </w:pPr>
            <w:r>
              <w:rPr>
                <w:rFonts w:ascii="Arial" w:hAnsi="Arial" w:eastAsia="Arial"/>
                <w:b w:val="0"/>
                <w:sz w:val="20"/>
                <w:szCs w:val="20"/>
              </w:rPr>
              <w:t>Corte de oficina en histórico y en formulario</w:t>
            </w:r>
          </w:p>
        </w:tc>
        <w:tc>
          <w:tcPr>
            <w:tcW w:w="3135" w:type="dxa"/>
          </w:tcPr>
          <w:p>
            <w:pPr>
              <w:spacing w:after="0"/>
              <w:rPr>
                <w:sz w:val="20"/>
                <w:szCs w:val="20"/>
              </w:rPr>
            </w:pPr>
            <w:r>
              <w:rPr>
                <w:rFonts w:ascii="Arial" w:hAnsi="Arial" w:eastAsia="Arial"/>
                <w:b w:val="0"/>
                <w:sz w:val="20"/>
                <w:szCs w:val="20"/>
              </w:rPr>
              <w:t>No está en la vista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Espejo MySQL</w:t>
            </w:r>
          </w:p>
        </w:tc>
        <w:tc>
          <w:tcPr>
            <w:tcW w:w="3135" w:type="dxa"/>
          </w:tcPr>
          <w:p>
            <w:pPr>
              <w:spacing w:after="0"/>
              <w:rPr>
                <w:sz w:val="20"/>
                <w:szCs w:val="20"/>
              </w:rPr>
            </w:pPr>
            <w:r>
              <w:rPr>
                <w:rFonts w:ascii="Arial" w:hAnsi="Arial" w:eastAsia="Arial"/>
                <w:b w:val="0"/>
                <w:sz w:val="20"/>
                <w:szCs w:val="20"/>
              </w:rPr>
              <w:t>Las mismas tablas de informes</w:t>
            </w:r>
          </w:p>
        </w:tc>
        <w:tc>
          <w:tcPr>
            <w:tcW w:w="3135" w:type="dxa"/>
          </w:tcPr>
          <w:p>
            <w:pPr>
              <w:spacing w:after="0"/>
              <w:rPr>
                <w:sz w:val="20"/>
                <w:szCs w:val="20"/>
              </w:rPr>
            </w:pPr>
            <w:r>
              <w:rPr>
                <w:rFonts w:ascii="Arial" w:hAnsi="Arial" w:eastAsia="Arial"/>
                <w:b w:val="0"/>
                <w:sz w:val="20"/>
                <w:szCs w:val="20"/>
              </w:rPr>
              <w:t>Cerrado (formulario y vista)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Lo que no se hace</w:t>
            </w:r>
          </w:p>
        </w:tc>
        <w:tc>
          <w:tcPr>
            <w:tcW w:w="3135" w:type="dxa"/>
          </w:tcPr>
          <w:p>
            <w:pPr>
              <w:spacing w:after="0"/>
              <w:rPr>
                <w:sz w:val="20"/>
                <w:szCs w:val="20"/>
              </w:rPr>
            </w:pPr>
            <w:r>
              <w:rPr>
                <w:rFonts w:ascii="Arial" w:hAnsi="Arial" w:eastAsia="Arial"/>
                <w:b w:val="0"/>
                <w:sz w:val="20"/>
                <w:szCs w:val="20"/>
              </w:rPr>
              <w:t>Sumar las tres tablas, o sumarlas a las multas</w:t>
            </w:r>
          </w:p>
        </w:tc>
        <w:tc>
          <w:tcPr>
            <w:tcW w:w="3135" w:type="dxa"/>
          </w:tcPr>
          <w:p>
            <w:pPr>
              <w:spacing w:after="0"/>
              <w:rPr>
                <w:sz w:val="20"/>
                <w:szCs w:val="20"/>
              </w:rPr>
            </w:pPr>
            <w:r>
              <w:rPr>
                <w:rFonts w:ascii="Arial" w:hAnsi="Arial" w:eastAsia="Arial"/>
                <w:b w:val="0"/>
                <w:sz w:val="20"/>
                <w:szCs w:val="20"/>
              </w:rPr>
              <w:t>No hay una llave común</w:t>
            </w:r>
          </w:p>
        </w:tc>
      </w:tr>
    </w:tbl>
    <w:p>
      <w:pPr>
        <w:spacing w:before="120" w:after="120" w:line="276" w:lineRule="auto"/>
        <w:jc w:val="both"/>
        <w:rPr>
          <w:rFonts w:ascii="Arial" w:hAnsi="Arial" w:eastAsia="Arial"/>
          <w:b w:val="0"/>
          <w:sz w:val="20"/>
          <w:szCs w:val="20"/>
        </w:rPr>
      </w:pPr>
    </w:p>
    <w:p>
      <w:pPr>
        <w:spacing w:before="120" w:after="120" w:line="276" w:lineRule="auto"/>
        <w:jc w:val="both"/>
        <w:rPr>
          <w:rFonts w:ascii="Arial" w:hAnsi="Arial" w:eastAsia="Arial"/>
          <w:b w:val="0"/>
          <w:sz w:val="20"/>
          <w:szCs w:val="20"/>
        </w:rPr>
      </w:pPr>
    </w:p>
    <w:p>
      <w:pPr>
        <w:spacing w:before="120" w:after="120" w:line="276" w:lineRule="auto"/>
        <w:jc w:val="both"/>
        <w:rPr>
          <w:rFonts w:ascii="Arial" w:hAnsi="Arial" w:eastAsia="Arial"/>
          <w:b w:val="0"/>
          <w:sz w:val="20"/>
          <w:szCs w:val="20"/>
        </w:rPr>
      </w:pPr>
    </w:p>
    <w:p>
      <w:pPr>
        <w:spacing w:before="120" w:after="120" w:line="276" w:lineRule="auto"/>
        <w:jc w:val="both"/>
        <w:rPr>
          <w:sz w:val="20"/>
          <w:szCs w:val="20"/>
        </w:rPr>
      </w:pPr>
      <w:r>
        <w:rPr>
          <w:rFonts w:ascii="Arial" w:hAnsi="Arial" w:eastAsia="Arial"/>
          <w:b w:val="0"/>
          <w:sz w:val="20"/>
          <w:szCs w:val="20"/>
        </w:rPr>
        <w:t>10. La corrida diaria actualiza el formulario y la vista. El consolidado histórico se carga bajo demanda, como respaldo, y no entra en esa corrida diaria. El corte de oficina (PK_OFICINA) está en el formulario y en el consolidado histórico. La vista no lleva ese campo: su corte es el de la propia vista (coordinación, estado, actividad).</w:t>
      </w:r>
    </w:p>
    <w:p>
      <w:pPr>
        <w:spacing w:before="0" w:after="120" w:line="276" w:lineRule="auto"/>
        <w:jc w:val="both"/>
        <w:rPr>
          <w:rFonts w:hint="default" w:ascii="Arial" w:hAnsi="Arial" w:eastAsia="Arial"/>
          <w:b w:val="0"/>
          <w:sz w:val="20"/>
          <w:szCs w:val="20"/>
          <w:lang/>
        </w:rPr>
      </w:pPr>
      <w:r>
        <w:rPr>
          <w:rFonts w:ascii="Arial" w:hAnsi="Arial" w:eastAsia="Arial"/>
          <w:b w:val="0"/>
          <w:sz w:val="20"/>
          <w:szCs w:val="20"/>
        </w:rPr>
        <w:t>11. Cortes de la actividad g) en informes. En el consolidado histórico se agrupa por fuente (BD u OD), por año y, cuando el campo vino poblado, por tipo de supervisión, coordinación y oficina. En el formulario vigente el corte de unidad es PK_OFICINA. En la vista, el corte es de actividad y de ciclo, no de cantidad de informes del consolidado. Un gráfico de informes históricos usa como denominador las ≈ 111 091 filas del consolidado. Un gráfico del formulario vigente usa ≈ 19. Un gráfico de la vista usa ≈ 53 288 filas de esa vista. Esos tres números no se suman.</w:t>
      </w:r>
      <w:r>
        <w:rPr>
          <w:rFonts w:hint="default" w:ascii="Arial" w:hAnsi="Arial" w:eastAsia="Arial"/>
          <w:b w:val="0"/>
          <w:sz w:val="20"/>
          <w:szCs w:val="20"/>
          <w:lang/>
        </w:rPr>
      </w:r>
    </w:p>
    <w:p>
      <w:pPr>
        <w:spacing w:before="0" w:after="120" w:line="276" w:lineRule="auto"/>
        <w:rPr>
          <w:rFonts w:ascii="Arial" w:hAnsi="Arial" w:eastAsia="Arial"/>
          <w:b/>
          <w:sz w:val="20"/>
          <w:szCs w:val="20"/>
        </w:rPr>
      </w:pPr>
    </w:p>
    <w:p>
      <w:pPr>
        <w:spacing w:before="0" w:after="120" w:line="276" w:lineRule="auto"/>
        <w:rPr>
          <w:sz w:val="20"/>
          <w:szCs w:val="20"/>
        </w:rPr>
      </w:pPr>
      <w:r>
        <w:rPr>
          <w:rFonts w:ascii="Arial" w:hAnsi="Arial" w:eastAsia="Arial"/>
          <w:b/>
          <w:sz w:val="20"/>
          <w:szCs w:val="20"/>
        </w:rPr>
        <w:t>Cuadro 5. Cortes analíticos de informes de supervisión.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Corte del TDR</w:t>
            </w:r>
          </w:p>
        </w:tc>
        <w:tc>
          <w:tcPr>
            <w:tcW w:w="3135" w:type="dxa"/>
          </w:tcPr>
          <w:p>
            <w:pPr>
              <w:spacing w:after="0"/>
              <w:rPr>
                <w:sz w:val="20"/>
                <w:szCs w:val="20"/>
              </w:rPr>
            </w:pPr>
            <w:r>
              <w:rPr>
                <w:rFonts w:ascii="Arial" w:hAnsi="Arial" w:eastAsia="Arial"/>
                <w:b/>
                <w:sz w:val="20"/>
                <w:szCs w:val="20"/>
              </w:rPr>
              <w:t>Dónde</w:t>
            </w:r>
          </w:p>
        </w:tc>
        <w:tc>
          <w:tcPr>
            <w:tcW w:w="3135" w:type="dxa"/>
          </w:tcPr>
          <w:p>
            <w:pPr>
              <w:spacing w:after="0"/>
              <w:rPr>
                <w:sz w:val="20"/>
                <w:szCs w:val="20"/>
              </w:rPr>
            </w:pPr>
            <w:r>
              <w:rPr>
                <w:rFonts w:ascii="Arial" w:hAnsi="Arial" w:eastAsia="Arial"/>
                <w:b/>
                <w:sz w:val="20"/>
                <w:szCs w:val="20"/>
              </w:rPr>
              <w:t>Lectura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Tipo</w:t>
            </w:r>
          </w:p>
        </w:tc>
        <w:tc>
          <w:tcPr>
            <w:tcW w:w="3135" w:type="dxa"/>
          </w:tcPr>
          <w:p>
            <w:pPr>
              <w:spacing w:after="0"/>
              <w:rPr>
                <w:sz w:val="20"/>
                <w:szCs w:val="20"/>
              </w:rPr>
            </w:pPr>
            <w:r>
              <w:rPr>
                <w:rFonts w:ascii="Arial" w:hAnsi="Arial" w:eastAsia="Arial"/>
                <w:b w:val="0"/>
                <w:sz w:val="20"/>
                <w:szCs w:val="20"/>
              </w:rPr>
              <w:t>Tipo de supervisión, estado, orientación (si el campo vino)</w:t>
            </w:r>
          </w:p>
        </w:tc>
        <w:tc>
          <w:tcPr>
            <w:tcW w:w="3135" w:type="dxa"/>
          </w:tcPr>
          <w:p>
            <w:pPr>
              <w:spacing w:after="0"/>
              <w:rPr>
                <w:sz w:val="20"/>
                <w:szCs w:val="20"/>
              </w:rPr>
            </w:pPr>
            <w:r>
              <w:rPr>
                <w:rFonts w:ascii="Arial" w:hAnsi="Arial" w:eastAsia="Arial"/>
                <w:b w:val="0"/>
                <w:sz w:val="20"/>
                <w:szCs w:val="20"/>
              </w:rPr>
              <w:t>Dentro de una sola tabla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Periodo</w:t>
            </w:r>
          </w:p>
        </w:tc>
        <w:tc>
          <w:tcPr>
            <w:tcW w:w="3135" w:type="dxa"/>
          </w:tcPr>
          <w:p>
            <w:pPr>
              <w:spacing w:after="0"/>
              <w:rPr>
                <w:sz w:val="20"/>
                <w:szCs w:val="20"/>
              </w:rPr>
            </w:pPr>
            <w:r>
              <w:rPr>
                <w:rFonts w:ascii="Arial" w:hAnsi="Arial" w:eastAsia="Arial"/>
                <w:b w:val="0"/>
                <w:sz w:val="20"/>
                <w:szCs w:val="20"/>
              </w:rPr>
              <w:t>ANIO en el histórico; fechas del formulario o de la vista</w:t>
            </w:r>
          </w:p>
        </w:tc>
        <w:tc>
          <w:tcPr>
            <w:tcW w:w="3135" w:type="dxa"/>
          </w:tcPr>
          <w:p>
            <w:pPr>
              <w:spacing w:after="0"/>
              <w:rPr>
                <w:sz w:val="20"/>
                <w:szCs w:val="20"/>
              </w:rPr>
            </w:pPr>
            <w:r>
              <w:rPr>
                <w:rFonts w:ascii="Arial" w:hAnsi="Arial" w:eastAsia="Arial"/>
                <w:b w:val="0"/>
                <w:sz w:val="20"/>
                <w:szCs w:val="20"/>
              </w:rPr>
              <w:t>No mezclar 2019–2026 con el formulario vigente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Materia / órgano</w:t>
            </w:r>
          </w:p>
        </w:tc>
        <w:tc>
          <w:tcPr>
            <w:tcW w:w="3135" w:type="dxa"/>
          </w:tcPr>
          <w:p>
            <w:pPr>
              <w:spacing w:after="0"/>
              <w:rPr>
                <w:sz w:val="20"/>
                <w:szCs w:val="20"/>
              </w:rPr>
            </w:pPr>
            <w:r>
              <w:rPr>
                <w:rFonts w:ascii="Arial" w:hAnsi="Arial" w:eastAsia="Arial"/>
                <w:b w:val="0"/>
                <w:sz w:val="20"/>
                <w:szCs w:val="20"/>
              </w:rPr>
              <w:t>Coordinación o subsector, si está poblado</w:t>
            </w:r>
          </w:p>
        </w:tc>
        <w:tc>
          <w:tcPr>
            <w:tcW w:w="3135" w:type="dxa"/>
          </w:tcPr>
          <w:p>
            <w:pPr>
              <w:spacing w:after="0"/>
              <w:rPr>
                <w:sz w:val="20"/>
                <w:szCs w:val="20"/>
              </w:rPr>
            </w:pPr>
            <w:r>
              <w:rPr>
                <w:rFonts w:ascii="Arial" w:hAnsi="Arial" w:eastAsia="Arial"/>
                <w:b w:val="0"/>
                <w:sz w:val="20"/>
                <w:szCs w:val="20"/>
              </w:rPr>
              <w:t>No imputar el vacío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Unidad responsable</w:t>
            </w:r>
          </w:p>
        </w:tc>
        <w:tc>
          <w:tcPr>
            <w:tcW w:w="3135" w:type="dxa"/>
          </w:tcPr>
          <w:p>
            <w:pPr>
              <w:spacing w:after="0"/>
              <w:rPr>
                <w:sz w:val="20"/>
                <w:szCs w:val="20"/>
              </w:rPr>
            </w:pPr>
            <w:r>
              <w:rPr>
                <w:rFonts w:ascii="Arial" w:hAnsi="Arial" w:eastAsia="Arial"/>
                <w:b w:val="0"/>
                <w:sz w:val="20"/>
                <w:szCs w:val="20"/>
              </w:rPr>
              <w:t>FUENTE (BD/OD) y PK_OFICINA</w:t>
            </w:r>
          </w:p>
        </w:tc>
        <w:tc>
          <w:tcPr>
            <w:tcW w:w="3135" w:type="dxa"/>
          </w:tcPr>
          <w:p>
            <w:pPr>
              <w:spacing w:after="0"/>
              <w:rPr>
                <w:sz w:val="20"/>
                <w:szCs w:val="20"/>
              </w:rPr>
            </w:pPr>
            <w:r>
              <w:rPr>
                <w:rFonts w:ascii="Arial" w:hAnsi="Arial" w:eastAsia="Arial"/>
                <w:b w:val="0"/>
                <w:sz w:val="20"/>
                <w:szCs w:val="20"/>
              </w:rPr>
              <w:t>En la vista, el corte es el de la vista</w:t>
            </w:r>
          </w:p>
        </w:tc>
      </w:tr>
    </w:tbl>
    <w:p>
      <w:pPr>
        <w:spacing w:before="120" w:after="120" w:line="276" w:lineRule="auto"/>
        <w:jc w:val="both"/>
        <w:rPr>
          <w:sz w:val="20"/>
          <w:szCs w:val="20"/>
        </w:rPr>
      </w:pPr>
      <w:r>
        <w:rPr>
          <w:rFonts w:ascii="Arial" w:hAnsi="Arial" w:eastAsia="Arial"/>
          <w:b w:val="0"/>
          <w:sz w:val="20"/>
          <w:szCs w:val="20"/>
        </w:rPr>
        <w:t>12. Magnitudes verificadas. Consolidado histórico: ≈ 111 091 filas y 83 columnas (sede y OD, 2019–2026). Formulario vigente: ≈ 19 filas (16 con oficina COR065 y 3 con oficina COR040). Vista institucional: ≈ 53 288 filas. El espejo MySQL de estas tablas de informes está cerrado con las mismas magnitudes del formulario y de la vista. A diferencia de las multas, ese espejo de informes no queda pendiente.</w:t>
      </w:r>
    </w:p>
    <w:p>
      <w:pPr>
        <w:spacing w:before="0" w:after="120" w:line="276" w:lineRule="auto"/>
        <w:rPr>
          <w:sz w:val="20"/>
          <w:szCs w:val="20"/>
        </w:rPr>
      </w:pPr>
      <w:r>
        <w:rPr>
          <w:rFonts w:ascii="Arial" w:hAnsi="Arial" w:eastAsia="Arial"/>
          <w:b/>
          <w:sz w:val="20"/>
          <w:szCs w:val="20"/>
        </w:rPr>
        <w:t>Cuadro 6. Órdenes de magnitud de informes de supervisión.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2"/>
        <w:gridCol w:w="3584"/>
        <w:gridCol w:w="2067"/>
        <w:gridCol w:w="1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sz w:val="20"/>
                <w:szCs w:val="20"/>
              </w:rPr>
              <w:t>Tabla</w:t>
            </w:r>
          </w:p>
        </w:tc>
        <w:tc>
          <w:tcPr>
            <w:tcW w:w="2351" w:type="dxa"/>
          </w:tcPr>
          <w:p>
            <w:pPr>
              <w:spacing w:after="0"/>
              <w:rPr>
                <w:sz w:val="20"/>
                <w:szCs w:val="20"/>
              </w:rPr>
            </w:pPr>
            <w:r>
              <w:rPr>
                <w:rFonts w:ascii="Arial" w:hAnsi="Arial" w:eastAsia="Arial"/>
                <w:b/>
                <w:sz w:val="20"/>
                <w:szCs w:val="20"/>
              </w:rPr>
              <w:t>Grano de la fila</w:t>
            </w:r>
          </w:p>
        </w:tc>
        <w:tc>
          <w:tcPr>
            <w:tcW w:w="2351" w:type="dxa"/>
          </w:tcPr>
          <w:p>
            <w:pPr>
              <w:spacing w:after="0"/>
              <w:rPr>
                <w:sz w:val="20"/>
                <w:szCs w:val="20"/>
              </w:rPr>
            </w:pPr>
            <w:r>
              <w:rPr>
                <w:rFonts w:ascii="Arial" w:hAnsi="Arial" w:eastAsia="Arial"/>
                <w:b/>
                <w:sz w:val="20"/>
                <w:szCs w:val="20"/>
              </w:rPr>
              <w:t>Filas</w:t>
            </w:r>
          </w:p>
        </w:tc>
        <w:tc>
          <w:tcPr>
            <w:tcW w:w="2351" w:type="dxa"/>
          </w:tcPr>
          <w:p>
            <w:pPr>
              <w:spacing w:after="0"/>
              <w:rPr>
                <w:sz w:val="20"/>
                <w:szCs w:val="20"/>
              </w:rPr>
            </w:pPr>
            <w:r>
              <w:rPr>
                <w:rFonts w:ascii="Arial" w:hAnsi="Arial" w:eastAsia="Arial"/>
                <w:b/>
                <w:sz w:val="20"/>
                <w:szCs w:val="20"/>
              </w:rPr>
              <w:t>Nota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DW_INF_CONSOL_RDATA</w:t>
            </w:r>
          </w:p>
        </w:tc>
        <w:tc>
          <w:tcPr>
            <w:tcW w:w="2351" w:type="dxa"/>
          </w:tcPr>
          <w:p>
            <w:pPr>
              <w:spacing w:after="0"/>
              <w:rPr>
                <w:sz w:val="20"/>
                <w:szCs w:val="20"/>
              </w:rPr>
            </w:pPr>
            <w:r>
              <w:rPr>
                <w:rFonts w:ascii="Arial" w:hAnsi="Arial" w:eastAsia="Arial"/>
                <w:b w:val="0"/>
                <w:sz w:val="20"/>
                <w:szCs w:val="20"/>
              </w:rPr>
              <w:t>1 fila del consolidado histórico</w:t>
            </w:r>
          </w:p>
        </w:tc>
        <w:tc>
          <w:tcPr>
            <w:tcW w:w="2351" w:type="dxa"/>
          </w:tcPr>
          <w:p>
            <w:pPr>
              <w:spacing w:after="0"/>
              <w:rPr>
                <w:sz w:val="20"/>
                <w:szCs w:val="20"/>
              </w:rPr>
            </w:pPr>
            <w:r>
              <w:rPr>
                <w:rFonts w:ascii="Arial" w:hAnsi="Arial" w:eastAsia="Arial"/>
                <w:b w:val="0"/>
                <w:sz w:val="20"/>
                <w:szCs w:val="20"/>
              </w:rPr>
              <w:t>≈ 111 091</w:t>
            </w:r>
          </w:p>
        </w:tc>
        <w:tc>
          <w:tcPr>
            <w:tcW w:w="2351" w:type="dxa"/>
          </w:tcPr>
          <w:p>
            <w:pPr>
              <w:spacing w:after="0"/>
              <w:rPr>
                <w:sz w:val="20"/>
                <w:szCs w:val="20"/>
              </w:rPr>
            </w:pPr>
            <w:r>
              <w:rPr>
                <w:rFonts w:ascii="Arial" w:hAnsi="Arial" w:eastAsia="Arial"/>
                <w:b w:val="0"/>
                <w:sz w:val="20"/>
                <w:szCs w:val="20"/>
              </w:rPr>
              <w:t>83 columnas; no es la corrida diaria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DW_INF_CONSOL_FORM</w:t>
            </w:r>
          </w:p>
        </w:tc>
        <w:tc>
          <w:tcPr>
            <w:tcW w:w="2351" w:type="dxa"/>
          </w:tcPr>
          <w:p>
            <w:pPr>
              <w:spacing w:after="0"/>
              <w:rPr>
                <w:sz w:val="20"/>
                <w:szCs w:val="20"/>
              </w:rPr>
            </w:pPr>
            <w:r>
              <w:rPr>
                <w:rFonts w:ascii="Arial" w:hAnsi="Arial" w:eastAsia="Arial"/>
                <w:b w:val="0"/>
                <w:sz w:val="20"/>
                <w:szCs w:val="20"/>
              </w:rPr>
              <w:t>1 fila del formulario vigente</w:t>
            </w:r>
          </w:p>
        </w:tc>
        <w:tc>
          <w:tcPr>
            <w:tcW w:w="2351" w:type="dxa"/>
          </w:tcPr>
          <w:p>
            <w:pPr>
              <w:spacing w:after="0"/>
              <w:rPr>
                <w:sz w:val="20"/>
                <w:szCs w:val="20"/>
              </w:rPr>
            </w:pPr>
            <w:r>
              <w:rPr>
                <w:rFonts w:ascii="Arial" w:hAnsi="Arial" w:eastAsia="Arial"/>
                <w:b w:val="0"/>
                <w:sz w:val="20"/>
                <w:szCs w:val="20"/>
              </w:rPr>
              <w:t>≈ 19</w:t>
            </w:r>
          </w:p>
        </w:tc>
        <w:tc>
          <w:tcPr>
            <w:tcW w:w="2351" w:type="dxa"/>
          </w:tcPr>
          <w:p>
            <w:pPr>
              <w:spacing w:after="0"/>
              <w:rPr>
                <w:sz w:val="20"/>
                <w:szCs w:val="20"/>
              </w:rPr>
            </w:pPr>
            <w:r>
              <w:rPr>
                <w:rFonts w:ascii="Arial" w:hAnsi="Arial" w:eastAsia="Arial"/>
                <w:b w:val="0"/>
                <w:sz w:val="20"/>
                <w:szCs w:val="20"/>
              </w:rPr>
              <w:t>Diaria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rPr>
                <w:sz w:val="20"/>
                <w:szCs w:val="20"/>
              </w:rPr>
            </w:pPr>
            <w:r>
              <w:rPr>
                <w:rFonts w:ascii="Arial" w:hAnsi="Arial" w:eastAsia="Arial"/>
                <w:b w:val="0"/>
                <w:sz w:val="20"/>
                <w:szCs w:val="20"/>
              </w:rPr>
              <w:t>de las cuales COR065</w:t>
            </w:r>
          </w:p>
        </w:tc>
        <w:tc>
          <w:tcPr>
            <w:tcW w:w="2351" w:type="dxa"/>
          </w:tcPr>
          <w:p>
            <w:pPr>
              <w:spacing w:after="0"/>
              <w:rPr>
                <w:sz w:val="20"/>
                <w:szCs w:val="20"/>
              </w:rPr>
            </w:pPr>
            <w:r>
              <w:rPr>
                <w:rFonts w:ascii="Arial" w:hAnsi="Arial" w:eastAsia="Arial"/>
                <w:b w:val="0"/>
                <w:sz w:val="20"/>
                <w:szCs w:val="20"/>
              </w:rPr>
              <w:t>PK_OFICINA</w:t>
            </w:r>
          </w:p>
        </w:tc>
        <w:tc>
          <w:tcPr>
            <w:tcW w:w="2351" w:type="dxa"/>
          </w:tcPr>
          <w:p>
            <w:pPr>
              <w:spacing w:after="0"/>
              <w:rPr>
                <w:sz w:val="20"/>
                <w:szCs w:val="20"/>
              </w:rPr>
            </w:pPr>
            <w:r>
              <w:rPr>
                <w:rFonts w:ascii="Arial" w:hAnsi="Arial" w:eastAsia="Arial"/>
                <w:b w:val="0"/>
                <w:sz w:val="20"/>
                <w:szCs w:val="20"/>
              </w:rPr>
              <w:t>16</w:t>
            </w:r>
          </w:p>
        </w:tc>
        <w:tc>
          <w:tcPr>
            <w:tcW w:w="2351" w:type="dxa"/>
          </w:tcPr>
          <w:p>
            <w:pPr>
              <w:spacing w:after="0"/>
              <w:rPr>
                <w:sz w:val="20"/>
                <w:szCs w:val="20"/>
              </w:rPr>
            </w:pPr>
            <w:r>
              <w:rPr>
                <w:rFonts w:ascii="Arial" w:hAnsi="Arial" w:eastAsia="Arial"/>
                <w:b w:val="0"/>
                <w:sz w:val="20"/>
                <w:szCs w:val="20"/>
              </w:rPr>
              <w:t>Parte de las 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de las cuales COR040</w:t>
            </w:r>
          </w:p>
        </w:tc>
        <w:tc>
          <w:tcPr>
            <w:tcW w:w="2351" w:type="dxa"/>
          </w:tcPr>
          <w:p>
            <w:pPr>
              <w:spacing w:after="0"/>
              <w:rPr>
                <w:sz w:val="20"/>
                <w:szCs w:val="20"/>
              </w:rPr>
            </w:pPr>
            <w:r>
              <w:rPr>
                <w:rFonts w:ascii="Arial" w:hAnsi="Arial" w:eastAsia="Arial"/>
                <w:b w:val="0"/>
                <w:sz w:val="20"/>
                <w:szCs w:val="20"/>
              </w:rPr>
              <w:t>PK_OFICINA</w:t>
            </w:r>
          </w:p>
        </w:tc>
        <w:tc>
          <w:tcPr>
            <w:tcW w:w="2351" w:type="dxa"/>
          </w:tcPr>
          <w:p>
            <w:pPr>
              <w:spacing w:after="0"/>
              <w:rPr>
                <w:sz w:val="20"/>
                <w:szCs w:val="20"/>
              </w:rPr>
            </w:pPr>
            <w:r>
              <w:rPr>
                <w:rFonts w:ascii="Arial" w:hAnsi="Arial" w:eastAsia="Arial"/>
                <w:b w:val="0"/>
                <w:sz w:val="20"/>
                <w:szCs w:val="20"/>
              </w:rPr>
              <w:t>3</w:t>
            </w:r>
          </w:p>
        </w:tc>
        <w:tc>
          <w:tcPr>
            <w:tcW w:w="2351" w:type="dxa"/>
          </w:tcPr>
          <w:p>
            <w:pPr>
              <w:spacing w:after="0"/>
              <w:rPr>
                <w:sz w:val="20"/>
                <w:szCs w:val="20"/>
              </w:rPr>
            </w:pPr>
            <w:r>
              <w:rPr>
                <w:rFonts w:ascii="Arial" w:hAnsi="Arial" w:eastAsia="Arial"/>
                <w:b w:val="0"/>
                <w:sz w:val="20"/>
                <w:szCs w:val="20"/>
              </w:rPr>
              <w:t>Parte de las 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DW_INF_CSEP_INFORMES_VIEW</w:t>
            </w:r>
          </w:p>
        </w:tc>
        <w:tc>
          <w:tcPr>
            <w:tcW w:w="2351" w:type="dxa"/>
          </w:tcPr>
          <w:p>
            <w:pPr>
              <w:spacing w:after="0"/>
              <w:rPr>
                <w:sz w:val="20"/>
                <w:szCs w:val="20"/>
              </w:rPr>
            </w:pPr>
            <w:r>
              <w:rPr>
                <w:rFonts w:ascii="Arial" w:hAnsi="Arial" w:eastAsia="Arial"/>
                <w:b w:val="0"/>
                <w:sz w:val="20"/>
                <w:szCs w:val="20"/>
              </w:rPr>
              <w:t>1 fila de la vista</w:t>
            </w:r>
          </w:p>
        </w:tc>
        <w:tc>
          <w:tcPr>
            <w:tcW w:w="2351" w:type="dxa"/>
          </w:tcPr>
          <w:p>
            <w:pPr>
              <w:spacing w:after="0"/>
              <w:rPr>
                <w:sz w:val="20"/>
                <w:szCs w:val="20"/>
              </w:rPr>
            </w:pPr>
            <w:r>
              <w:rPr>
                <w:rFonts w:ascii="Arial" w:hAnsi="Arial" w:eastAsia="Arial"/>
                <w:b w:val="0"/>
                <w:sz w:val="20"/>
                <w:szCs w:val="20"/>
              </w:rPr>
              <w:t>≈ 53 288</w:t>
            </w:r>
          </w:p>
        </w:tc>
        <w:tc>
          <w:tcPr>
            <w:tcW w:w="2351" w:type="dxa"/>
          </w:tcPr>
          <w:p>
            <w:pPr>
              <w:spacing w:after="0"/>
              <w:rPr>
                <w:sz w:val="20"/>
                <w:szCs w:val="20"/>
              </w:rPr>
            </w:pPr>
            <w:r>
              <w:rPr>
                <w:rFonts w:ascii="Arial" w:hAnsi="Arial" w:eastAsia="Arial"/>
                <w:b w:val="0"/>
                <w:sz w:val="20"/>
                <w:szCs w:val="20"/>
              </w:rPr>
              <w:t>No es el censo histórico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Espejo MySQL, formulario</w:t>
            </w:r>
          </w:p>
        </w:tc>
        <w:tc>
          <w:tcPr>
            <w:tcW w:w="2351" w:type="dxa"/>
          </w:tcPr>
          <w:p>
            <w:pPr>
              <w:spacing w:after="0"/>
              <w:rPr>
                <w:sz w:val="20"/>
                <w:szCs w:val="20"/>
              </w:rPr>
            </w:pPr>
            <w:r>
              <w:rPr>
                <w:rFonts w:ascii="Arial" w:hAnsi="Arial" w:eastAsia="Arial"/>
                <w:b w:val="0"/>
                <w:sz w:val="20"/>
                <w:szCs w:val="20"/>
              </w:rPr>
              <w:t>La misma fila del formulario</w:t>
            </w:r>
          </w:p>
        </w:tc>
        <w:tc>
          <w:tcPr>
            <w:tcW w:w="2351" w:type="dxa"/>
          </w:tcPr>
          <w:p>
            <w:pPr>
              <w:spacing w:after="0"/>
              <w:rPr>
                <w:sz w:val="20"/>
                <w:szCs w:val="20"/>
              </w:rPr>
            </w:pPr>
            <w:r>
              <w:rPr>
                <w:rFonts w:ascii="Arial" w:hAnsi="Arial" w:eastAsia="Arial"/>
                <w:b w:val="0"/>
                <w:sz w:val="20"/>
                <w:szCs w:val="20"/>
              </w:rPr>
              <w:t>≈ 19</w:t>
            </w:r>
          </w:p>
        </w:tc>
        <w:tc>
          <w:tcPr>
            <w:tcW w:w="2351" w:type="dxa"/>
          </w:tcPr>
          <w:p>
            <w:pPr>
              <w:spacing w:after="0"/>
              <w:rPr>
                <w:sz w:val="20"/>
                <w:szCs w:val="20"/>
              </w:rPr>
            </w:pPr>
            <w:r>
              <w:rPr>
                <w:rFonts w:ascii="Arial" w:hAnsi="Arial" w:eastAsia="Arial"/>
                <w:b w:val="0"/>
                <w:sz w:val="20"/>
                <w:szCs w:val="20"/>
              </w:rPr>
              <w:t>Espejo cerrado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rPr>
                <w:sz w:val="20"/>
                <w:szCs w:val="20"/>
              </w:rPr>
            </w:pPr>
            <w:r>
              <w:rPr>
                <w:rFonts w:ascii="Arial" w:hAnsi="Arial" w:eastAsia="Arial"/>
                <w:b w:val="0"/>
                <w:sz w:val="20"/>
                <w:szCs w:val="20"/>
              </w:rPr>
              <w:t>Espejo MySQL, vista</w:t>
            </w:r>
          </w:p>
        </w:tc>
        <w:tc>
          <w:tcPr>
            <w:tcW w:w="2351" w:type="dxa"/>
          </w:tcPr>
          <w:p>
            <w:pPr>
              <w:spacing w:after="0"/>
              <w:rPr>
                <w:sz w:val="20"/>
                <w:szCs w:val="20"/>
              </w:rPr>
            </w:pPr>
            <w:r>
              <w:rPr>
                <w:rFonts w:ascii="Arial" w:hAnsi="Arial" w:eastAsia="Arial"/>
                <w:b w:val="0"/>
                <w:sz w:val="20"/>
                <w:szCs w:val="20"/>
              </w:rPr>
              <w:t>La misma fila de la vista</w:t>
            </w:r>
          </w:p>
        </w:tc>
        <w:tc>
          <w:tcPr>
            <w:tcW w:w="2351" w:type="dxa"/>
          </w:tcPr>
          <w:p>
            <w:pPr>
              <w:spacing w:after="0"/>
              <w:rPr>
                <w:sz w:val="20"/>
                <w:szCs w:val="20"/>
              </w:rPr>
            </w:pPr>
            <w:r>
              <w:rPr>
                <w:rFonts w:ascii="Arial" w:hAnsi="Arial" w:eastAsia="Arial"/>
                <w:b w:val="0"/>
                <w:sz w:val="20"/>
                <w:szCs w:val="20"/>
              </w:rPr>
              <w:t>≈ 53 288</w:t>
            </w:r>
          </w:p>
        </w:tc>
        <w:tc>
          <w:tcPr>
            <w:tcW w:w="2351" w:type="dxa"/>
          </w:tcPr>
          <w:p>
            <w:pPr>
              <w:spacing w:after="0"/>
              <w:rPr>
                <w:sz w:val="20"/>
                <w:szCs w:val="20"/>
              </w:rPr>
            </w:pPr>
            <w:r>
              <w:rPr>
                <w:rFonts w:ascii="Arial" w:hAnsi="Arial" w:eastAsia="Arial"/>
                <w:b w:val="0"/>
                <w:sz w:val="20"/>
                <w:szCs w:val="20"/>
              </w:rPr>
              <w:t>Espejo cerrado</w:t>
            </w:r>
          </w:p>
        </w:tc>
      </w:tr>
    </w:tbl>
    <w:p>
      <w:pPr>
        <w:spacing w:before="120" w:after="120" w:line="276" w:lineRule="auto"/>
        <w:jc w:val="both"/>
        <w:rPr>
          <w:sz w:val="20"/>
          <w:szCs w:val="20"/>
        </w:rPr>
      </w:pPr>
      <w:r>
        <w:rPr>
          <w:rFonts w:ascii="Arial" w:hAnsi="Arial" w:eastAsia="Arial"/>
          <w:b w:val="0"/>
          <w:sz w:val="20"/>
          <w:szCs w:val="20"/>
        </w:rPr>
        <w:t>13. Lectura del Cuadro 6. 111 091, 19 y 53 288 responden preguntas distintas. El formulario no es un subconjunto que “reemplace” el histórico en un mismo total, ni la vista es el detalle 1:N de esas 19 filas. Cada salida declara la tabla. Los nombres de funcionarios que viajan en la vista no entran a los cuadros de este entregable.</w:t>
      </w:r>
    </w:p>
    <w:p>
      <w:pPr>
        <w:spacing w:before="0" w:after="120" w:line="276" w:lineRule="auto"/>
        <w:jc w:val="both"/>
        <w:rPr>
          <w:rFonts w:ascii="Arial" w:hAnsi="Arial" w:eastAsia="Arial"/>
          <w:b w:val="0"/>
          <w:sz w:val="20"/>
          <w:szCs w:val="20"/>
        </w:rPr>
      </w:pPr>
      <w:r>
        <w:rPr>
          <w:rFonts w:ascii="Arial" w:hAnsi="Arial" w:eastAsia="Arial"/>
          <w:b w:val="0"/>
          <w:sz w:val="20"/>
          <w:szCs w:val="20"/>
        </w:rPr>
        <w:t>14. Sustento de informes en la actividad g): Anexo G-2, carpeta “Actividad G”.</w:t>
      </w:r>
    </w:p>
    <w:p>
      <w:pPr>
        <w:spacing w:before="0" w:after="120" w:line="276" w:lineRule="auto"/>
        <w:jc w:val="both"/>
        <w:rPr>
          <w:rFonts w:ascii="Arial" w:hAnsi="Arial" w:eastAsia="Arial"/>
          <w:b w:val="0"/>
          <w:sz w:val="20"/>
          <w:szCs w:val="20"/>
        </w:rPr>
      </w:pPr>
      <w:r>
        <w:t>h) Formular hallazgos técnicos y oportunidades de mejora a partir de los resultados del análisis, identificando patrones, brechas, limitaciones de la información y aspectos críticos vinculados a la efectividad de las estrategias de promoción del cumplimiento, a fin de generar insumos que contribuyan a la toma de decisiones y al fortalecimiento de la gestión institucional del OEFA.</w:t>
      </w:r>
    </w:p>
    <w:p>
      <w:pPr>
        <w:spacing w:before="0" w:after="120" w:line="276" w:lineRule="auto"/>
        <w:jc w:val="both"/>
        <w:rPr>
          <w:rFonts w:ascii="Arial" w:hAnsi="Arial" w:eastAsia="Arial"/>
          <w:b w:val="0"/>
          <w:sz w:val="20"/>
          <w:szCs w:val="20"/>
        </w:rPr>
      </w:pPr>
      <w:r>
        <w:t>Multas</w:t>
      </w:r>
    </w:p>
    <w:p>
      <w:pPr>
        <w:spacing w:before="0" w:after="120" w:line="276" w:lineRule="auto"/>
        <w:jc w:val="both"/>
        <w:rPr>
          <w:rFonts w:ascii="Arial" w:hAnsi="Arial" w:eastAsia="Arial"/>
          <w:b w:val="0"/>
          <w:sz w:val="20"/>
          <w:szCs w:val="20"/>
        </w:rPr>
      </w:pPr>
      <w:r>
        <w:t>15. Patrón. El seguimiento de las multas vive en las planillas. La vista institucional enriquece la fila (CUM/CAM) y no redefine el censo. La correspondencia es parcial: en la corrida de referencia, 153 filas de planilla CSEP y 64 de planilla OD tenían ambos identificadores; el resto permanece en el censo sin CUM o sin CAM.</w:t>
      </w:r>
    </w:p>
    <w:p>
      <w:pPr>
        <w:spacing w:before="0" w:after="120" w:line="276" w:lineRule="auto"/>
        <w:jc w:val="both"/>
        <w:rPr>
          <w:rFonts w:ascii="Arial" w:hAnsi="Arial" w:eastAsia="Arial"/>
          <w:b w:val="0"/>
          <w:sz w:val="20"/>
          <w:szCs w:val="20"/>
        </w:rPr>
      </w:pPr>
      <w:r>
        <w:t>16. Brechas y límite. F4 no tiene conteo cerrado. El espejo MySQL de multas está en curso. Parte de los registros sigue marcada por R01–R05 (llave, formato CUM/CAM, fechas, monto y coherencia UIT–soles). El corte por periodo solo existe si la fecha parseó. Esas marcas son parte del entregable.</w:t>
      </w:r>
    </w:p>
    <w:p>
      <w:pPr>
        <w:spacing w:before="0" w:after="120" w:line="276" w:lineRule="auto"/>
        <w:jc w:val="both"/>
        <w:rPr>
          <w:rFonts w:ascii="Arial" w:hAnsi="Arial" w:eastAsia="Arial"/>
          <w:b w:val="0"/>
          <w:sz w:val="20"/>
          <w:szCs w:val="20"/>
        </w:rPr>
      </w:pPr>
      <w:r>
        <w:t>17. Oportunidad. Declarar el denominador en cada cuadro (CSEP, OD o censo de planillas). No sumar la vista al censo. No usar K1–K5 como salida de Oracle en esta corrida. Cerrar, en una corrida posterior, el conteo de F4 y del espejo MySQL de multas. Corregir en origen las fechas y los montos que disparan R03 y R05.</w:t>
      </w:r>
    </w:p>
    <w:p>
      <w:pPr>
        <w:spacing w:before="0" w:after="120" w:line="276" w:lineRule="auto"/>
        <w:jc w:val="both"/>
        <w:rPr>
          <w:rFonts w:ascii="Arial" w:hAnsi="Arial" w:eastAsia="Arial"/>
          <w:b w:val="0"/>
          <w:sz w:val="20"/>
          <w:szCs w:val="20"/>
        </w:rPr>
      </w:pPr>
      <w:r>
        <w:t>Informes</w:t>
      </w:r>
    </w:p>
    <w:p>
      <w:pPr>
        <w:spacing w:before="160" w:after="120" w:line="276" w:lineRule="auto"/>
        <w:jc w:val="both"/>
        <w:rPr>
          <w:sz w:val="22"/>
          <w:szCs w:val="22"/>
        </w:rPr>
      </w:pPr>
      <w:r>
        <w:rPr>
          <w:rFonts w:ascii="Arial" w:hAnsi="Arial" w:eastAsia="Arial"/>
          <w:b/>
          <w:sz w:val="22"/>
          <w:szCs w:val="22"/>
        </w:rPr>
        <w:t>18. Patrón. Hay tres cortes institucionales publicados y paralelos: el histórico (≈ 111 091), el formulario vigente (≈ 19) y la vista (≈ 53 288). El histórico distingue sede y oficina (FUENTE = BD u OD) y el año. El formulario vigente, en la corrida de referencia, se concentra en dos códigos de oficina. La vista describe actividades y ciclo a otra escala.</w:t>
      </w:r>
    </w:p>
    <w:p>
      <w:pPr>
        <w:spacing w:before="0" w:after="120" w:line="276" w:lineRule="auto"/>
        <w:jc w:val="both"/>
        <w:rPr>
          <w:rFonts w:ascii="Arial" w:hAnsi="Arial" w:eastAsia="Arial"/>
          <w:b w:val="0"/>
          <w:sz w:val="20"/>
          <w:szCs w:val="20"/>
        </w:rPr>
      </w:pPr>
      <w:r>
        <w:rPr>
          <w:rFonts w:ascii="Arial" w:hAnsi="Arial" w:eastAsia="Arial"/>
          <w:b w:val="0"/>
          <w:sz w:val="20"/>
          <w:szCs w:val="20"/>
        </w:rPr>
        <w:t>19. Brechas y límite. El histórico no se refresca en la corrida diaria; un cuadro “al día” que lo use sin decirlo mezcla un respaldo con el formulario. Varios campos del bloque antiguo de la vista no están en la plantilla 2025/2026 del consolidado: no se imputan. No hay llave que cruce una multa coercitiva con un informe para un indicador único de efectividad.</w:t>
      </w:r>
    </w:p>
    <w:p>
      <w:pPr>
        <w:spacing w:before="0" w:after="120" w:line="276" w:lineRule="auto"/>
        <w:jc w:val="both"/>
        <w:rPr>
          <w:rFonts w:ascii="Arial" w:hAnsi="Arial" w:eastAsia="Arial"/>
          <w:b w:val="0"/>
          <w:sz w:val="20"/>
          <w:szCs w:val="20"/>
        </w:rPr>
      </w:pPr>
      <w:r>
        <w:rPr>
          <w:rFonts w:ascii="Arial" w:hAnsi="Arial" w:eastAsia="Arial"/>
          <w:b w:val="0"/>
          <w:sz w:val="20"/>
          <w:szCs w:val="20"/>
        </w:rPr>
        <w:t>20. Oportunidad. Elegir la tabla antes de graficar: histórico para la serie 2019–2026, formulario para lo vigente, vista para el ciclo de actividades. No sumar las tres. Mantener el espejo MySQL de informes, que ya está cerrado, como respaldo de las mismas magnitudes. Tratar en origen los informes sin número en el consolidado histórico.</w:t>
      </w:r>
    </w:p>
    <w:p>
      <w:pPr>
        <w:spacing w:before="0" w:after="120" w:line="276" w:lineRule="auto"/>
        <w:jc w:val="both"/>
        <w:rPr>
          <w:sz w:val="20"/>
          <w:szCs w:val="20"/>
        </w:rPr>
      </w:pPr>
      <w:r>
        <w:rPr>
          <w:rFonts w:ascii="Arial" w:hAnsi="Arial" w:eastAsia="Arial"/>
          <w:b w:val="0"/>
          <w:sz w:val="20"/>
          <w:szCs w:val="20"/>
        </w:rPr>
      </w:r>
    </w:p>
    <w:p>
      <w:pPr>
        <w:spacing w:before="0" w:after="120" w:line="276" w:lineRule="auto"/>
        <w:jc w:val="both"/>
        <w:rPr>
          <w:sz w:val="20"/>
          <w:szCs w:val="20"/>
        </w:rPr>
      </w:pPr>
      <w:r>
        <w:rPr>
          <w:rFonts w:ascii="Arial" w:hAnsi="Arial" w:eastAsia="Arial"/>
          <w:b w:val="0"/>
          <w:sz w:val="20"/>
          <w:szCs w:val="20"/>
        </w:rPr>
        <w:t>21. Ejemplo de lectura. Pregunta de multas: cuántas medidas de una unidad CSEP están en seguimiento. Ruta: DW_M_FACT_MULTA_COERCITIVA filtrada por esa unidad; denominador de contraste, ≈ 990 de la planilla CSEP. Pregunta de informes: cuántos informes históricos hay por año y por sede u oficina. Ruta: DW_INF_CONSOL_RDATA, agrupando ANIO y FUENTE, denominador ≈ 111 091. Pregunta de ciclo: DW_INF_CSEP_INFORMES_VIEW, y el título dice “filas de la vista”, no “informes”.</w:t>
      </w:r>
    </w:p>
    <w:p>
      <w:pPr>
        <w:spacing w:before="0" w:after="120" w:line="276" w:lineRule="auto"/>
        <w:jc w:val="both"/>
        <w:rPr>
          <w:sz w:val="20"/>
          <w:szCs w:val="20"/>
        </w:rPr>
      </w:pPr>
      <w:r>
        <w:rPr>
          <w:rFonts w:ascii="Arial" w:hAnsi="Arial" w:eastAsia="Arial"/>
          <w:b w:val="0"/>
          <w:sz w:val="20"/>
          <w:szCs w:val="20"/>
        </w:rPr>
        <w:t>22. Criterio recomendado: (i) definir la pregunta; (ii) elegir universo (multa o informe) y, dentro de informes, la tabla (histórico, formulario o vista); (iii) acotar órgano, oficina y periodo; (iv) medir; (v) si la cifra no cierra, contrastar con la fotografía de auditoría o con el hallazgo de calidad. Mezclar tablas en un solo total distorsiona el diagnóstico.</w:t>
      </w:r>
    </w:p>
    <w:p>
      <w:pPr>
        <w:spacing w:before="0" w:after="120" w:line="276" w:lineRule="auto"/>
        <w:rPr>
          <w:sz w:val="20"/>
          <w:szCs w:val="20"/>
        </w:rPr>
      </w:pPr>
      <w:r>
        <w:rPr>
          <w:rFonts w:ascii="Arial" w:hAnsi="Arial" w:eastAsia="Arial"/>
          <w:b/>
          <w:sz w:val="20"/>
          <w:szCs w:val="20"/>
        </w:rPr>
        <w:t>Cuadro 7. Hallazgos técnicos y oportunidades de mejora.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8"/>
        <w:gridCol w:w="2990"/>
        <w:gridCol w:w="3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Hallazgo</w:t>
            </w:r>
          </w:p>
        </w:tc>
        <w:tc>
          <w:tcPr>
            <w:tcW w:w="3135" w:type="dxa"/>
          </w:tcPr>
          <w:p>
            <w:pPr>
              <w:spacing w:after="0"/>
              <w:rPr>
                <w:sz w:val="20"/>
                <w:szCs w:val="20"/>
              </w:rPr>
            </w:pPr>
            <w:r>
              <w:rPr>
                <w:rFonts w:ascii="Arial" w:hAnsi="Arial" w:eastAsia="Arial"/>
                <w:b/>
                <w:sz w:val="20"/>
                <w:szCs w:val="20"/>
              </w:rPr>
              <w:t>Universo</w:t>
            </w:r>
          </w:p>
        </w:tc>
        <w:tc>
          <w:tcPr>
            <w:tcW w:w="3135" w:type="dxa"/>
          </w:tcPr>
          <w:p>
            <w:pPr>
              <w:spacing w:after="0"/>
              <w:rPr>
                <w:sz w:val="20"/>
                <w:szCs w:val="20"/>
              </w:rPr>
            </w:pPr>
            <w:r>
              <w:rPr>
                <w:rFonts w:ascii="Arial" w:hAnsi="Arial" w:eastAsia="Arial"/>
                <w:b/>
                <w:sz w:val="20"/>
                <w:szCs w:val="20"/>
              </w:rPr>
              <w:t>Lectura para la gestión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Censo de planillas verificable</w:t>
            </w:r>
          </w:p>
        </w:tc>
        <w:tc>
          <w:tcPr>
            <w:tcW w:w="3135" w:type="dxa"/>
          </w:tcPr>
          <w:p>
            <w:pPr>
              <w:spacing w:after="0"/>
              <w:rPr>
                <w:sz w:val="20"/>
                <w:szCs w:val="20"/>
              </w:rPr>
            </w:pPr>
            <w:r>
              <w:rPr>
                <w:rFonts w:ascii="Arial" w:hAnsi="Arial" w:eastAsia="Arial"/>
                <w:b w:val="0"/>
                <w:sz w:val="20"/>
                <w:szCs w:val="20"/>
              </w:rPr>
              <w:t>Multas</w:t>
            </w:r>
          </w:p>
        </w:tc>
        <w:tc>
          <w:tcPr>
            <w:tcW w:w="3135" w:type="dxa"/>
          </w:tcPr>
          <w:p>
            <w:pPr>
              <w:spacing w:after="0"/>
              <w:rPr>
                <w:sz w:val="20"/>
                <w:szCs w:val="20"/>
              </w:rPr>
            </w:pPr>
            <w:r>
              <w:rPr>
                <w:rFonts w:ascii="Arial" w:hAnsi="Arial" w:eastAsia="Arial"/>
                <w:b w:val="0"/>
                <w:sz w:val="20"/>
                <w:szCs w:val="20"/>
              </w:rPr>
              <w:t>≈ 1 271 = 990 + 281; la vista no se suma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Lookup CUM/CAM parcial</w:t>
            </w:r>
          </w:p>
        </w:tc>
        <w:tc>
          <w:tcPr>
            <w:tcW w:w="3135" w:type="dxa"/>
          </w:tcPr>
          <w:p>
            <w:pPr>
              <w:spacing w:after="0"/>
              <w:rPr>
                <w:sz w:val="20"/>
                <w:szCs w:val="20"/>
              </w:rPr>
            </w:pPr>
            <w:r>
              <w:rPr>
                <w:rFonts w:ascii="Arial" w:hAnsi="Arial" w:eastAsia="Arial"/>
                <w:b w:val="0"/>
                <w:sz w:val="20"/>
                <w:szCs w:val="20"/>
              </w:rPr>
              <w:t>Multas</w:t>
            </w:r>
          </w:p>
        </w:tc>
        <w:tc>
          <w:tcPr>
            <w:tcW w:w="3135" w:type="dxa"/>
          </w:tcPr>
          <w:p>
            <w:pPr>
              <w:spacing w:after="0"/>
              <w:rPr>
                <w:sz w:val="20"/>
                <w:szCs w:val="20"/>
              </w:rPr>
            </w:pPr>
            <w:r>
              <w:rPr>
                <w:rFonts w:ascii="Arial" w:hAnsi="Arial" w:eastAsia="Arial"/>
                <w:b w:val="0"/>
                <w:sz w:val="20"/>
                <w:szCs w:val="20"/>
              </w:rPr>
              <w:t>153 CSEP y 64 OD con ambos; el resto sigue en el censo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F4 y espejo MySQL sin cifra</w:t>
            </w:r>
          </w:p>
        </w:tc>
        <w:tc>
          <w:tcPr>
            <w:tcW w:w="3135" w:type="dxa"/>
          </w:tcPr>
          <w:p>
            <w:pPr>
              <w:spacing w:after="0"/>
              <w:rPr>
                <w:sz w:val="20"/>
                <w:szCs w:val="20"/>
              </w:rPr>
            </w:pPr>
            <w:r>
              <w:rPr>
                <w:rFonts w:ascii="Arial" w:hAnsi="Arial" w:eastAsia="Arial"/>
                <w:b w:val="0"/>
                <w:sz w:val="20"/>
                <w:szCs w:val="20"/>
              </w:rPr>
              <w:t>Multas</w:t>
            </w:r>
          </w:p>
        </w:tc>
        <w:tc>
          <w:tcPr>
            <w:tcW w:w="3135" w:type="dxa"/>
          </w:tcPr>
          <w:p>
            <w:pPr>
              <w:spacing w:after="0"/>
              <w:rPr>
                <w:sz w:val="20"/>
                <w:szCs w:val="20"/>
              </w:rPr>
            </w:pPr>
            <w:r>
              <w:rPr>
                <w:rFonts w:ascii="Arial" w:hAnsi="Arial" w:eastAsia="Arial"/>
                <w:b w:val="0"/>
                <w:sz w:val="20"/>
                <w:szCs w:val="20"/>
              </w:rPr>
              <w:t>Diseño listo; no usarlos en un cuadro de conformidad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Tres tablas paralelas</w:t>
            </w:r>
          </w:p>
        </w:tc>
        <w:tc>
          <w:tcPr>
            <w:tcW w:w="3135" w:type="dxa"/>
          </w:tcPr>
          <w:p>
            <w:pPr>
              <w:spacing w:after="0"/>
              <w:rPr>
                <w:sz w:val="20"/>
                <w:szCs w:val="20"/>
              </w:rPr>
            </w:pPr>
            <w:r>
              <w:rPr>
                <w:rFonts w:ascii="Arial" w:hAnsi="Arial" w:eastAsia="Arial"/>
                <w:b w:val="0"/>
                <w:sz w:val="20"/>
                <w:szCs w:val="20"/>
              </w:rPr>
              <w:t>Informes</w:t>
            </w:r>
          </w:p>
        </w:tc>
        <w:tc>
          <w:tcPr>
            <w:tcW w:w="3135" w:type="dxa"/>
          </w:tcPr>
          <w:p>
            <w:pPr>
              <w:spacing w:after="0"/>
              <w:rPr>
                <w:sz w:val="20"/>
                <w:szCs w:val="20"/>
              </w:rPr>
            </w:pPr>
            <w:r>
              <w:rPr>
                <w:rFonts w:ascii="Arial" w:hAnsi="Arial" w:eastAsia="Arial"/>
                <w:b w:val="0"/>
                <w:sz w:val="20"/>
                <w:szCs w:val="20"/>
              </w:rPr>
              <w:t>111 091, 19 y 53 288 no se suman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Histórico fuera de la corrida diaria</w:t>
            </w:r>
          </w:p>
        </w:tc>
        <w:tc>
          <w:tcPr>
            <w:tcW w:w="3135" w:type="dxa"/>
          </w:tcPr>
          <w:p>
            <w:pPr>
              <w:spacing w:after="0"/>
              <w:rPr>
                <w:sz w:val="20"/>
                <w:szCs w:val="20"/>
              </w:rPr>
            </w:pPr>
            <w:r>
              <w:rPr>
                <w:rFonts w:ascii="Arial" w:hAnsi="Arial" w:eastAsia="Arial"/>
                <w:b w:val="0"/>
                <w:sz w:val="20"/>
                <w:szCs w:val="20"/>
              </w:rPr>
              <w:t>Informes</w:t>
            </w:r>
          </w:p>
        </w:tc>
        <w:tc>
          <w:tcPr>
            <w:tcW w:w="3135" w:type="dxa"/>
          </w:tcPr>
          <w:p>
            <w:pPr>
              <w:spacing w:after="0"/>
              <w:rPr>
                <w:sz w:val="20"/>
                <w:szCs w:val="20"/>
              </w:rPr>
            </w:pPr>
            <w:r>
              <w:rPr>
                <w:rFonts w:ascii="Arial" w:hAnsi="Arial" w:eastAsia="Arial"/>
                <w:b w:val="0"/>
                <w:sz w:val="20"/>
                <w:szCs w:val="20"/>
              </w:rPr>
              <w:t>Un cuadro “al día” usa formulario o vista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Espejo MySQL de informes cerrado</w:t>
            </w:r>
          </w:p>
        </w:tc>
        <w:tc>
          <w:tcPr>
            <w:tcW w:w="3135" w:type="dxa"/>
          </w:tcPr>
          <w:p>
            <w:pPr>
              <w:spacing w:after="0"/>
              <w:rPr>
                <w:sz w:val="20"/>
                <w:szCs w:val="20"/>
              </w:rPr>
            </w:pPr>
            <w:r>
              <w:rPr>
                <w:rFonts w:ascii="Arial" w:hAnsi="Arial" w:eastAsia="Arial"/>
                <w:b w:val="0"/>
                <w:sz w:val="20"/>
                <w:szCs w:val="20"/>
              </w:rPr>
              <w:t>Informes</w:t>
            </w:r>
          </w:p>
        </w:tc>
        <w:tc>
          <w:tcPr>
            <w:tcW w:w="3135" w:type="dxa"/>
          </w:tcPr>
          <w:p>
            <w:pPr>
              <w:spacing w:after="0"/>
              <w:rPr>
                <w:sz w:val="20"/>
                <w:szCs w:val="20"/>
              </w:rPr>
            </w:pPr>
            <w:r>
              <w:rPr>
                <w:rFonts w:ascii="Arial" w:hAnsi="Arial" w:eastAsia="Arial"/>
                <w:b w:val="0"/>
                <w:sz w:val="20"/>
                <w:szCs w:val="20"/>
              </w:rPr>
              <w:t>Formulario ≈ 19 y vista ≈ 53 288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Sin llave multa–informe</w:t>
            </w:r>
          </w:p>
        </w:tc>
        <w:tc>
          <w:tcPr>
            <w:tcW w:w="3135" w:type="dxa"/>
          </w:tcPr>
          <w:p>
            <w:pPr>
              <w:spacing w:after="0"/>
              <w:rPr>
                <w:sz w:val="20"/>
                <w:szCs w:val="20"/>
              </w:rPr>
            </w:pPr>
            <w:r>
              <w:rPr>
                <w:rFonts w:ascii="Arial" w:hAnsi="Arial" w:eastAsia="Arial"/>
                <w:b w:val="0"/>
                <w:sz w:val="20"/>
                <w:szCs w:val="20"/>
              </w:rPr>
              <w:t>Ambos</w:t>
            </w:r>
          </w:p>
        </w:tc>
        <w:tc>
          <w:tcPr>
            <w:tcW w:w="3135" w:type="dxa"/>
          </w:tcPr>
          <w:p>
            <w:pPr>
              <w:spacing w:after="0"/>
              <w:rPr>
                <w:sz w:val="20"/>
                <w:szCs w:val="20"/>
              </w:rPr>
            </w:pPr>
            <w:r>
              <w:rPr>
                <w:rFonts w:ascii="Arial" w:hAnsi="Arial" w:eastAsia="Arial"/>
                <w:b w:val="0"/>
                <w:sz w:val="20"/>
                <w:szCs w:val="20"/>
              </w:rPr>
              <w:t>No hay un indicador único de efectividad</w:t>
            </w:r>
          </w:p>
        </w:tc>
      </w:tr>
    </w:tbl>
    <w:p>
      <w:pPr>
        <w:spacing w:before="120" w:after="120" w:line="276" w:lineRule="auto"/>
        <w:jc w:val="both"/>
        <w:rPr>
          <w:sz w:val="20"/>
          <w:szCs w:val="20"/>
        </w:rPr>
      </w:pPr>
      <w:r>
        <w:rPr>
          <w:rFonts w:ascii="Arial" w:hAnsi="Arial" w:eastAsia="Arial"/>
          <w:b w:val="0"/>
          <w:sz w:val="20"/>
          <w:szCs w:val="20"/>
        </w:rPr>
        <w:t>23. Síntesis. Avance: censo de multas verificable (≈ 1 271) y tres salidas de informes con magnitud cerrada, más el espejo MySQL de informes. Brecha: lookup parcial de multas, F4 y espejo MySQL de multas sin cifra, y la tentación de sumar las tres tablas de informes. Mejora: un denominador por cuadro y ningún total cruzado entre universos.</w:t>
      </w:r>
    </w:p>
    <w:p>
      <w:pPr>
        <w:spacing w:before="0" w:after="120" w:line="276" w:lineRule="auto"/>
        <w:jc w:val="both"/>
        <w:rPr>
          <w:sz w:val="20"/>
          <w:szCs w:val="20"/>
        </w:rPr>
      </w:pPr>
      <w:r>
        <w:rPr>
          <w:rFonts w:ascii="Arial" w:hAnsi="Arial" w:eastAsia="Arial"/>
          <w:b w:val="0"/>
          <w:sz w:val="20"/>
          <w:szCs w:val="20"/>
        </w:rPr>
        <w:t>• Avance en multas. Cobertura nominal de 31 OD y 10 CSEP; censo ≈ 1 271; lookup CUM/CAM sin perder la fila de planilla; hallazgos R01–R05 publicados; auditoría 1:1 de las fuentes cargadas.</w:t>
      </w:r>
    </w:p>
    <w:p>
      <w:pPr>
        <w:spacing w:before="0" w:after="120" w:line="276" w:lineRule="auto"/>
        <w:jc w:val="both"/>
        <w:rPr>
          <w:sz w:val="20"/>
          <w:szCs w:val="20"/>
        </w:rPr>
      </w:pPr>
      <w:r>
        <w:rPr>
          <w:rFonts w:ascii="Arial" w:hAnsi="Arial" w:eastAsia="Arial"/>
          <w:b w:val="0"/>
          <w:sz w:val="20"/>
          <w:szCs w:val="20"/>
        </w:rPr>
        <w:t>• Avance en informes. Consolidado histórico ≈ 111 091; formulario vigente ≈ 19, con PK_OFICINA; vista ≈ 53 288; espejo MySQL del formulario y de la vista ya contrastado. Identificadores de unidad fiscalizadora y de administrado disponibles en el consolidado histórico.</w:t>
      </w:r>
    </w:p>
    <w:p>
      <w:pPr>
        <w:spacing w:before="0" w:after="120" w:line="276" w:lineRule="auto"/>
        <w:jc w:val="both"/>
        <w:rPr>
          <w:sz w:val="20"/>
          <w:szCs w:val="20"/>
        </w:rPr>
      </w:pPr>
      <w:r>
        <w:rPr>
          <w:rFonts w:ascii="Arial" w:hAnsi="Arial" w:eastAsia="Arial"/>
          <w:b w:val="0"/>
          <w:sz w:val="20"/>
          <w:szCs w:val="20"/>
        </w:rPr>
        <w:t>• Brecha común. Los dos universos del TDR no se cruzan. Dentro de cada uno, las fuentes tampoco se suman: planilla de multas con su vista, o histórico de informes con formulario y con vista. Publicar esa suma como “efectividad” no tiene respaldo en los datos.</w:t>
      </w:r>
    </w:p>
    <w:p>
      <w:pPr>
        <w:spacing w:before="0" w:after="120" w:line="276" w:lineRule="auto"/>
        <w:jc w:val="both"/>
        <w:rPr>
          <w:sz w:val="20"/>
          <w:szCs w:val="20"/>
        </w:rPr>
      </w:pPr>
      <w:r>
        <w:rPr>
          <w:rFonts w:ascii="Arial" w:hAnsi="Arial" w:eastAsia="Arial"/>
          <w:b w:val="0"/>
          <w:sz w:val="20"/>
          <w:szCs w:val="20"/>
        </w:rPr>
        <w:t>24. El detalle de patrones, límites y recomendaciones está en el Anexo H-1.</w:t>
      </w:r>
    </w:p>
    <w:p>
      <w:pPr>
        <w:spacing w:before="0" w:after="120" w:line="276" w:lineRule="auto"/>
        <w:jc w:val="both"/>
        <w:rPr>
          <w:sz w:val="20"/>
          <w:szCs w:val="20"/>
        </w:rPr>
      </w:pPr>
      <w:r>
        <w:rPr>
          <w:rFonts w:ascii="Arial" w:hAnsi="Arial" w:eastAsia="Arial"/>
          <w:b w:val="0"/>
          <w:sz w:val="20"/>
          <w:szCs w:val="20"/>
        </w:rPr>
        <w:t>25. En ese sentido, se ha dado cumplimiento a las actividades g) y h) del Tercer Entregable, sobre multas coercitivas y sobre informes de supervisión, conforme al numeral 6 de los TDR.</w:t>
      </w:r>
    </w:p>
    <w:p>
      <w:pPr>
        <w:spacing w:before="0" w:after="120" w:line="276" w:lineRule="auto"/>
        <w:jc w:val="both"/>
        <w:rPr>
          <w:sz w:val="20"/>
          <w:szCs w:val="20"/>
        </w:rPr>
      </w:pPr>
      <w:r>
        <w:rPr>
          <w:rFonts w:ascii="Arial" w:hAnsi="Arial" w:eastAsia="Arial"/>
          <w:b w:val="0"/>
          <w:sz w:val="20"/>
          <w:szCs w:val="20"/>
        </w:rPr>
      </w:r>
    </w:p>
    <w:p>
      <w:pPr>
        <w:spacing w:before="0" w:after="120" w:line="276" w:lineRule="auto"/>
        <w:jc w:val="both"/>
        <w:rPr>
          <w:sz w:val="20"/>
          <w:szCs w:val="20"/>
        </w:rPr>
      </w:pPr>
      <w:r>
        <w:rPr>
          <w:rFonts w:ascii="Arial" w:hAnsi="Arial" w:eastAsia="Arial"/>
          <w:b w:val="0"/>
          <w:sz w:val="20"/>
          <w:szCs w:val="20"/>
        </w:rPr>
        <w:t>26. Cadena de creación. En ambos casos Apache Hop descarga las fuentes, el procesamiento homologa y Oracle publica el esquema. Multas: las planillas alimentan DW_M_FACT_MULTA_COERCITIVA y la vista pega CUM/CAM a la derecha. Informes: tres publicaciones paralelas (DW_INF_CONSOL_RDATA, DW_INF_CONSOL_FORM, DW_INF_CSEP_INFORMES_VIEW), la diaria limitada al formulario y a la vista. Esquema APP en local.</w:t>
      </w:r>
    </w:p>
    <w:p>
      <w:pPr>
        <w:spacing w:before="120" w:after="120" w:line="276" w:lineRule="auto"/>
        <w:rPr>
          <w:sz w:val="20"/>
          <w:szCs w:val="20"/>
        </w:rPr>
      </w:pPr>
      <w:r>
        <w:rPr>
          <w:rFonts w:ascii="Arial" w:hAnsi="Arial" w:eastAsia="Arial"/>
          <w:b/>
          <w:sz w:val="20"/>
          <w:szCs w:val="20"/>
        </w:rPr>
        <w:t>Cuadro 8. De fuente a objeto publicado.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gridCol w:w="1803"/>
        <w:gridCol w:w="3472"/>
        <w:gridCol w:w="3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sz w:val="20"/>
                <w:szCs w:val="20"/>
              </w:rPr>
              <w:t>Universo</w:t>
            </w:r>
          </w:p>
        </w:tc>
        <w:tc>
          <w:tcPr>
            <w:tcW w:w="2351" w:type="dxa"/>
          </w:tcPr>
          <w:p>
            <w:pPr>
              <w:spacing w:after="0"/>
              <w:rPr>
                <w:sz w:val="20"/>
                <w:szCs w:val="20"/>
              </w:rPr>
            </w:pPr>
            <w:r>
              <w:rPr>
                <w:rFonts w:ascii="Arial" w:hAnsi="Arial" w:eastAsia="Arial"/>
                <w:b/>
                <w:sz w:val="20"/>
                <w:szCs w:val="20"/>
              </w:rPr>
              <w:t>Fuente</w:t>
            </w:r>
          </w:p>
        </w:tc>
        <w:tc>
          <w:tcPr>
            <w:tcW w:w="2351" w:type="dxa"/>
          </w:tcPr>
          <w:p>
            <w:pPr>
              <w:spacing w:after="0"/>
              <w:rPr>
                <w:sz w:val="20"/>
                <w:szCs w:val="20"/>
              </w:rPr>
            </w:pPr>
            <w:r>
              <w:rPr>
                <w:rFonts w:ascii="Arial" w:hAnsi="Arial" w:eastAsia="Arial"/>
                <w:b/>
                <w:sz w:val="20"/>
                <w:szCs w:val="20"/>
              </w:rPr>
              <w:t>Paso intermedio</w:t>
            </w:r>
          </w:p>
        </w:tc>
        <w:tc>
          <w:tcPr>
            <w:tcW w:w="2351" w:type="dxa"/>
          </w:tcPr>
          <w:p>
            <w:pPr>
              <w:spacing w:after="0"/>
              <w:rPr>
                <w:sz w:val="20"/>
                <w:szCs w:val="20"/>
              </w:rPr>
            </w:pPr>
            <w:r>
              <w:rPr>
                <w:rFonts w:ascii="Arial" w:hAnsi="Arial" w:eastAsia="Arial"/>
                <w:b/>
                <w:sz w:val="20"/>
                <w:szCs w:val="20"/>
              </w:rPr>
              <w:t>Objeto publicado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31 planillas OD</w:t>
            </w:r>
          </w:p>
        </w:tc>
        <w:tc>
          <w:tcPr>
            <w:tcW w:w="2351" w:type="dxa"/>
          </w:tcPr>
          <w:p>
            <w:pPr>
              <w:spacing w:after="0"/>
              <w:rPr>
                <w:sz w:val="20"/>
                <w:szCs w:val="20"/>
              </w:rPr>
            </w:pPr>
            <w:r>
              <w:rPr>
                <w:rFonts w:ascii="Arial" w:hAnsi="Arial" w:eastAsia="Arial"/>
                <w:b w:val="0"/>
                <w:sz w:val="20"/>
                <w:szCs w:val="20"/>
              </w:rPr>
              <w:t>Staging de la planilla</w:t>
            </w:r>
          </w:p>
        </w:tc>
        <w:tc>
          <w:tcPr>
            <w:tcW w:w="2351" w:type="dxa"/>
          </w:tcPr>
          <w:p>
            <w:pPr>
              <w:spacing w:after="0"/>
              <w:rPr>
                <w:sz w:val="20"/>
                <w:szCs w:val="20"/>
              </w:rPr>
            </w:pPr>
            <w:r>
              <w:rPr>
                <w:rFonts w:ascii="Arial" w:hAnsi="Arial" w:eastAsia="Arial"/>
                <w:b w:val="0"/>
                <w:sz w:val="20"/>
                <w:szCs w:val="20"/>
              </w:rPr>
              <w:t>Parte de DW_M_FACT_MULTA_COERCITIVA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10 planillas CSEP</w:t>
            </w:r>
          </w:p>
        </w:tc>
        <w:tc>
          <w:tcPr>
            <w:tcW w:w="2351" w:type="dxa"/>
          </w:tcPr>
          <w:p>
            <w:pPr>
              <w:spacing w:after="0"/>
              <w:rPr>
                <w:sz w:val="20"/>
                <w:szCs w:val="20"/>
              </w:rPr>
            </w:pPr>
            <w:r>
              <w:rPr>
                <w:rFonts w:ascii="Arial" w:hAnsi="Arial" w:eastAsia="Arial"/>
                <w:b w:val="0"/>
                <w:sz w:val="20"/>
                <w:szCs w:val="20"/>
              </w:rPr>
              <w:t>Staging de la planilla y de etapas</w:t>
            </w:r>
          </w:p>
        </w:tc>
        <w:tc>
          <w:tcPr>
            <w:tcW w:w="2351" w:type="dxa"/>
          </w:tcPr>
          <w:p>
            <w:pPr>
              <w:spacing w:after="0"/>
              <w:rPr>
                <w:sz w:val="20"/>
                <w:szCs w:val="20"/>
              </w:rPr>
            </w:pPr>
            <w:r>
              <w:rPr>
                <w:rFonts w:ascii="Arial" w:hAnsi="Arial" w:eastAsia="Arial"/>
                <w:b w:val="0"/>
                <w:sz w:val="20"/>
                <w:szCs w:val="20"/>
              </w:rPr>
              <w:t>Parte del mismo fact; etapas en DW_M_DET_ETAPA_MC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Vista SISUD de multas</w:t>
            </w:r>
          </w:p>
        </w:tc>
        <w:tc>
          <w:tcPr>
            <w:tcW w:w="2351" w:type="dxa"/>
          </w:tcPr>
          <w:p>
            <w:pPr>
              <w:spacing w:after="0"/>
              <w:rPr>
                <w:sz w:val="20"/>
                <w:szCs w:val="20"/>
              </w:rPr>
            </w:pPr>
            <w:r>
              <w:rPr>
                <w:rFonts w:ascii="Arial" w:hAnsi="Arial" w:eastAsia="Arial"/>
                <w:b w:val="0"/>
                <w:sz w:val="20"/>
                <w:szCs w:val="20"/>
              </w:rPr>
              <w:t>Lookup por resolución + UIT</w:t>
            </w:r>
          </w:p>
        </w:tc>
        <w:tc>
          <w:tcPr>
            <w:tcW w:w="2351" w:type="dxa"/>
          </w:tcPr>
          <w:p>
            <w:pPr>
              <w:spacing w:after="0"/>
              <w:rPr>
                <w:sz w:val="20"/>
                <w:szCs w:val="20"/>
              </w:rPr>
            </w:pPr>
            <w:r>
              <w:rPr>
                <w:rFonts w:ascii="Arial" w:hAnsi="Arial" w:eastAsia="Arial"/>
                <w:b w:val="0"/>
                <w:sz w:val="20"/>
                <w:szCs w:val="20"/>
              </w:rPr>
              <w:t>CUM/CAM en la misma fila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Archivos históricos BD y OD</w:t>
            </w:r>
          </w:p>
        </w:tc>
        <w:tc>
          <w:tcPr>
            <w:tcW w:w="2351" w:type="dxa"/>
          </w:tcPr>
          <w:p>
            <w:pPr>
              <w:spacing w:after="0"/>
              <w:rPr>
                <w:sz w:val="20"/>
                <w:szCs w:val="20"/>
              </w:rPr>
            </w:pPr>
            <w:r>
              <w:rPr>
                <w:rFonts w:ascii="Arial" w:hAnsi="Arial" w:eastAsia="Arial"/>
                <w:b w:val="0"/>
                <w:sz w:val="20"/>
                <w:szCs w:val="20"/>
              </w:rPr>
              <w:t>Consolidado bajo demanda</w:t>
            </w:r>
          </w:p>
        </w:tc>
        <w:tc>
          <w:tcPr>
            <w:tcW w:w="2351" w:type="dxa"/>
          </w:tcPr>
          <w:p>
            <w:pPr>
              <w:spacing w:after="0"/>
              <w:rPr>
                <w:sz w:val="20"/>
                <w:szCs w:val="20"/>
              </w:rPr>
            </w:pPr>
            <w:r>
              <w:rPr>
                <w:rFonts w:ascii="Arial" w:hAnsi="Arial" w:eastAsia="Arial"/>
                <w:b w:val="0"/>
                <w:sz w:val="20"/>
                <w:szCs w:val="20"/>
              </w:rPr>
              <w:t>DW_INF_CONSOL_RDATA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Formulario vigente</w:t>
            </w:r>
          </w:p>
        </w:tc>
        <w:tc>
          <w:tcPr>
            <w:tcW w:w="2351" w:type="dxa"/>
          </w:tcPr>
          <w:p>
            <w:pPr>
              <w:spacing w:after="0"/>
              <w:rPr>
                <w:sz w:val="20"/>
                <w:szCs w:val="20"/>
              </w:rPr>
            </w:pPr>
            <w:r>
              <w:rPr>
                <w:rFonts w:ascii="Arial" w:hAnsi="Arial" w:eastAsia="Arial"/>
                <w:b w:val="0"/>
                <w:sz w:val="20"/>
                <w:szCs w:val="20"/>
              </w:rPr>
              <w:t>Corrida diaria</w:t>
            </w:r>
          </w:p>
        </w:tc>
        <w:tc>
          <w:tcPr>
            <w:tcW w:w="2351" w:type="dxa"/>
          </w:tcPr>
          <w:p>
            <w:pPr>
              <w:spacing w:after="0"/>
              <w:rPr>
                <w:sz w:val="20"/>
                <w:szCs w:val="20"/>
              </w:rPr>
            </w:pPr>
            <w:r>
              <w:rPr>
                <w:rFonts w:ascii="Arial" w:hAnsi="Arial" w:eastAsia="Arial"/>
                <w:b w:val="0"/>
                <w:sz w:val="20"/>
                <w:szCs w:val="20"/>
              </w:rPr>
              <w:t>DW_INF_CONSOL_FORM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Vista CSEP_INFORMES</w:t>
            </w:r>
          </w:p>
        </w:tc>
        <w:tc>
          <w:tcPr>
            <w:tcW w:w="2351" w:type="dxa"/>
          </w:tcPr>
          <w:p>
            <w:pPr>
              <w:spacing w:after="0"/>
              <w:rPr>
                <w:sz w:val="20"/>
                <w:szCs w:val="20"/>
              </w:rPr>
            </w:pPr>
            <w:r>
              <w:rPr>
                <w:rFonts w:ascii="Arial" w:hAnsi="Arial" w:eastAsia="Arial"/>
                <w:b w:val="0"/>
                <w:sz w:val="20"/>
                <w:szCs w:val="20"/>
              </w:rPr>
              <w:t>Corrida diaria</w:t>
            </w:r>
          </w:p>
        </w:tc>
        <w:tc>
          <w:tcPr>
            <w:tcW w:w="2351" w:type="dxa"/>
          </w:tcPr>
          <w:p>
            <w:pPr>
              <w:spacing w:after="0"/>
              <w:rPr>
                <w:sz w:val="20"/>
                <w:szCs w:val="20"/>
              </w:rPr>
            </w:pPr>
            <w:r>
              <w:rPr>
                <w:rFonts w:ascii="Arial" w:hAnsi="Arial" w:eastAsia="Arial"/>
                <w:b w:val="0"/>
                <w:sz w:val="20"/>
                <w:szCs w:val="20"/>
              </w:rPr>
              <w:t>DW_INF_CSEP_INFORMES_VIEW</w:t>
            </w:r>
          </w:p>
        </w:tc>
      </w:tr>
    </w:tbl>
    <w:p>
      <w:pPr>
        <w:spacing w:before="200" w:after="120" w:line="276" w:lineRule="auto"/>
        <w:rPr>
          <w:sz w:val="22"/>
          <w:szCs w:val="22"/>
        </w:rPr>
      </w:pPr>
      <w:r>
        <w:rPr>
          <w:rFonts w:ascii="Arial" w:hAnsi="Arial" w:eastAsia="Arial"/>
          <w:b/>
          <w:sz w:val="22"/>
          <w:szCs w:val="22"/>
        </w:rPr>
        <w:t>III. CONCLUSIONES</w:t>
      </w:r>
    </w:p>
    <w:p>
      <w:pPr>
        <w:spacing w:before="0" w:after="120" w:line="276" w:lineRule="auto"/>
        <w:jc w:val="both"/>
        <w:rPr>
          <w:sz w:val="20"/>
          <w:szCs w:val="20"/>
        </w:rPr>
      </w:pPr>
      <w:r>
        <w:rPr>
          <w:rFonts w:ascii="Arial" w:hAnsi="Arial" w:eastAsia="Arial"/>
          <w:b w:val="0"/>
          <w:sz w:val="20"/>
          <w:szCs w:val="20"/>
        </w:rPr>
        <w:t>17. Se elaboraron cuadros y salidas de la actividad g) por separado para multas coercitivas (censo de planillas ≈ 1 271, cortes por unidad CSEP, oficina OD, periodo y estado) y para informes de supervisión (histórico ≈ 111 091, formulario vigente ≈ 19 y vista ≈ 53 288), sin fusionar universos ni tablas.</w:t>
      </w:r>
    </w:p>
    <w:p>
      <w:pPr>
        <w:spacing w:before="0" w:after="120" w:line="276" w:lineRule="auto"/>
        <w:jc w:val="both"/>
        <w:rPr>
          <w:sz w:val="20"/>
          <w:szCs w:val="20"/>
        </w:rPr>
      </w:pPr>
      <w:r>
        <w:rPr>
          <w:rFonts w:ascii="Arial" w:hAnsi="Arial" w:eastAsia="Arial"/>
          <w:b w:val="0"/>
          <w:sz w:val="20"/>
          <w:szCs w:val="20"/>
        </w:rPr>
        <w:t>18. Se formularon los hallazgos de la actividad h). En multas, la vista enriquece y no amplía el censo; F4 y el espejo MySQL no tienen cifra cerrada. En informes, las tres tablas son cortes distintos y el espejo MySQL del formulario y de la vista ya está cerrado. No hay llave multa–informe.</w:t>
      </w:r>
    </w:p>
    <w:p>
      <w:pPr>
        <w:spacing w:before="0" w:after="120" w:line="276" w:lineRule="auto"/>
        <w:jc w:val="both"/>
        <w:rPr>
          <w:sz w:val="20"/>
          <w:szCs w:val="20"/>
        </w:rPr>
      </w:pPr>
      <w:r>
        <w:rPr>
          <w:rFonts w:ascii="Arial" w:hAnsi="Arial" w:eastAsia="Arial"/>
          <w:b w:val="0"/>
          <w:sz w:val="20"/>
          <w:szCs w:val="20"/>
        </w:rPr>
        <w:t>19. La oportunidad de mejora, para la decisión de la DPEF, es operativa: cada cuadro declara su tabla y su denominador; no se suma la vista de multas al censo de planillas; no se suman histórico, formulario y vista de informes; los defectos de calidad se informan sin borrar la fila.</w:t>
      </w:r>
    </w:p>
    <w:p>
      <w:pPr>
        <w:spacing w:before="0" w:after="120" w:line="276" w:lineRule="auto"/>
        <w:jc w:val="both"/>
        <w:rPr>
          <w:sz w:val="20"/>
          <w:szCs w:val="20"/>
        </w:rPr>
      </w:pPr>
      <w:r>
        <w:rPr>
          <w:rFonts w:ascii="Arial" w:hAnsi="Arial" w:eastAsia="Arial"/>
          <w:b w:val="0"/>
          <w:sz w:val="20"/>
          <w:szCs w:val="20"/>
        </w:rPr>
        <w:t>20. El Tercer Entregable deja esas salidas y esos hallazgos sobre las bases del Segundo, conforme a las actividades g) y h) del numeral 6 de los TDR.</w:t>
      </w:r>
    </w:p>
    <w:p>
      <w:pPr>
        <w:spacing w:before="200" w:after="120" w:line="276" w:lineRule="auto"/>
        <w:rPr>
          <w:sz w:val="22"/>
          <w:szCs w:val="22"/>
        </w:rPr>
      </w:pPr>
      <w:r>
        <w:rPr>
          <w:rFonts w:ascii="Arial" w:hAnsi="Arial" w:eastAsia="Arial"/>
          <w:b/>
          <w:sz w:val="22"/>
          <w:szCs w:val="22"/>
        </w:rPr>
        <w:t>IV. ANEXOS</w:t>
      </w:r>
    </w:p>
    <w:p>
      <w:pPr>
        <w:spacing w:before="0" w:after="40" w:line="276" w:lineRule="auto"/>
        <w:rPr>
          <w:sz w:val="20"/>
          <w:szCs w:val="20"/>
        </w:rPr>
      </w:pPr>
      <w:r>
        <w:rPr>
          <w:rFonts w:ascii="Arial" w:hAnsi="Arial" w:eastAsia="Arial"/>
          <w:b/>
          <w:sz w:val="20"/>
          <w:szCs w:val="20"/>
        </w:rPr>
        <w:t>Actividad g) — Cuadros, gráficos y salidas analíticas</w:t>
      </w:r>
    </w:p>
    <w:p>
      <w:pPr>
        <w:spacing w:before="0" w:after="40" w:line="276" w:lineRule="auto"/>
        <w:rPr>
          <w:sz w:val="20"/>
          <w:szCs w:val="20"/>
        </w:rPr>
      </w:pPr>
      <w:r>
        <w:rPr>
          <w:rFonts w:ascii="Arial" w:hAnsi="Arial" w:eastAsia="Arial"/>
          <w:b w:val="0"/>
          <w:sz w:val="20"/>
          <w:szCs w:val="20"/>
        </w:rPr>
        <w:t>· Anexo G-1: Cuadros estadísticos y salidas analíticas de multas coercitivas.</w:t>
      </w:r>
    </w:p>
    <w:p>
      <w:pPr>
        <w:spacing w:before="0" w:after="120" w:line="276" w:lineRule="auto"/>
        <w:rPr>
          <w:sz w:val="20"/>
          <w:szCs w:val="20"/>
        </w:rPr>
      </w:pPr>
      <w:r>
        <w:rPr>
          <w:rFonts w:ascii="Arial" w:hAnsi="Arial" w:eastAsia="Arial"/>
          <w:b w:val="0"/>
          <w:sz w:val="20"/>
          <w:szCs w:val="20"/>
        </w:rPr>
        <w:t>· Anexo G-2: Cuadros estadísticos y salidas analíticas de informes de supervisión.</w:t>
      </w:r>
    </w:p>
    <w:p>
      <w:pPr>
        <w:spacing w:before="0" w:after="40" w:line="276" w:lineRule="auto"/>
        <w:rPr>
          <w:sz w:val="20"/>
          <w:szCs w:val="20"/>
        </w:rPr>
      </w:pPr>
      <w:r>
        <w:rPr>
          <w:rFonts w:ascii="Arial" w:hAnsi="Arial" w:eastAsia="Arial"/>
          <w:b/>
          <w:sz w:val="20"/>
          <w:szCs w:val="20"/>
        </w:rPr>
        <w:t>Actividad h) — Hallazgos técnicos y oportunidades de mejora</w:t>
      </w:r>
    </w:p>
    <w:p>
      <w:pPr>
        <w:spacing w:before="0" w:after="40" w:line="276" w:lineRule="auto"/>
        <w:rPr>
          <w:sz w:val="20"/>
          <w:szCs w:val="20"/>
        </w:rPr>
      </w:pPr>
      <w:r>
        <w:rPr>
          <w:rFonts w:ascii="Arial" w:hAnsi="Arial" w:eastAsia="Arial"/>
          <w:b w:val="0"/>
          <w:sz w:val="20"/>
          <w:szCs w:val="20"/>
        </w:rPr>
        <w:t>· Anexo H-1: Hallazgos, brechas, limitaciones y oportunidades (multas e informes).</w:t>
      </w:r>
    </w:p>
    <w:p>
      <w:pPr>
        <w:spacing w:before="0" w:after="40" w:line="276" w:lineRule="auto"/>
        <w:rPr>
          <w:sz w:val="20"/>
          <w:szCs w:val="20"/>
        </w:rPr>
      </w:pPr>
      <w:r>
        <w:rPr>
          <w:rFonts w:ascii="Arial" w:hAnsi="Arial" w:eastAsia="Arial"/>
          <w:b w:val="0"/>
          <w:sz w:val="20"/>
          <w:szCs w:val="20"/>
        </w:rPr>
      </w:r>
    </w:p>
    <w:p>
      <w:pPr>
        <w:spacing w:before="0" w:after="120" w:line="276" w:lineRule="auto"/>
        <w:rPr>
          <w:sz w:val="20"/>
          <w:szCs w:val="20"/>
        </w:rPr>
      </w:pPr>
      <w:r>
        <w:rPr>
          <w:rFonts w:ascii="Arial" w:hAnsi="Arial" w:eastAsia="Arial"/>
          <w:b w:val="0"/>
          <w:sz w:val="20"/>
          <w:szCs w:val="20"/>
        </w:rPr>
      </w:r>
    </w:p>
    <w:p>
      <w:pPr>
        <w:spacing w:before="0" w:after="40" w:line="276" w:lineRule="auto"/>
        <w:rPr>
          <w:sz w:val="20"/>
          <w:szCs w:val="20"/>
        </w:rPr>
      </w:pPr>
      <w:r>
        <w:rPr>
          <w:rFonts w:ascii="Arial" w:hAnsi="Arial" w:eastAsia="Arial"/>
          <w:b/>
          <w:sz w:val="20"/>
          <w:szCs w:val="20"/>
        </w:rPr>
      </w:r>
    </w:p>
    <w:p>
      <w:pPr>
        <w:spacing w:before="0" w:after="40" w:line="276" w:lineRule="auto"/>
        <w:rPr>
          <w:sz w:val="20"/>
          <w:szCs w:val="20"/>
        </w:rPr>
      </w:pPr>
      <w:r>
        <w:rPr>
          <w:rFonts w:ascii="Arial" w:hAnsi="Arial" w:eastAsia="Arial"/>
          <w:b w:val="0"/>
          <w:sz w:val="20"/>
          <w:szCs w:val="20"/>
        </w:rPr>
      </w:r>
    </w:p>
    <w:p>
      <w:pPr>
        <w:spacing w:before="0" w:after="40" w:line="276" w:lineRule="auto"/>
        <w:rPr>
          <w:sz w:val="20"/>
          <w:szCs w:val="20"/>
        </w:rPr>
      </w:pPr>
      <w:r>
        <w:rPr>
          <w:rFonts w:ascii="Arial" w:hAnsi="Arial" w:eastAsia="Arial"/>
          <w:b w:val="0"/>
          <w:sz w:val="20"/>
          <w:szCs w:val="20"/>
        </w:rPr>
      </w:r>
    </w:p>
    <w:p>
      <w:pPr>
        <w:spacing w:before="0" w:after="120" w:line="276" w:lineRule="auto"/>
        <w:rPr>
          <w:sz w:val="20"/>
          <w:szCs w:val="20"/>
        </w:rPr>
      </w:pPr>
      <w:r>
        <w:rPr>
          <w:rFonts w:ascii="Arial" w:hAnsi="Arial" w:eastAsia="Arial"/>
          <w:b w:val="0"/>
          <w:sz w:val="20"/>
          <w:szCs w:val="20"/>
        </w:rPr>
      </w:r>
    </w:p>
    <w:p>
      <w:pPr>
        <w:spacing w:before="200" w:after="120" w:line="276" w:lineRule="auto"/>
        <w:jc w:val="both"/>
        <w:rPr>
          <w:sz w:val="20"/>
          <w:szCs w:val="20"/>
        </w:rPr>
      </w:pPr>
      <w:r>
        <w:rPr>
          <w:rFonts w:ascii="Arial" w:hAnsi="Arial" w:eastAsia="Arial"/>
          <w:b w:val="0"/>
          <w:sz w:val="20"/>
          <w:szCs w:val="20"/>
        </w:rPr>
        <w:t>Es cuanto informo a usted, para los fines pertinentes.</w:t>
      </w:r>
    </w:p>
    <w:p>
      <w:pPr>
        <w:spacing w:before="0" w:after="0" w:line="276" w:lineRule="auto"/>
        <w:rPr>
          <w:sz w:val="20"/>
          <w:szCs w:val="20"/>
        </w:rPr>
      </w:pPr>
    </w:p>
    <w:p>
      <w:pPr>
        <w:spacing w:before="0" w:after="0" w:line="276" w:lineRule="auto"/>
        <w:rPr>
          <w:sz w:val="20"/>
          <w:szCs w:val="20"/>
        </w:rPr>
      </w:pPr>
    </w:p>
    <w:p>
      <w:pPr>
        <w:spacing w:before="360" w:after="120" w:line="276" w:lineRule="auto"/>
        <w:jc w:val="center"/>
        <w:rPr>
          <w:sz w:val="20"/>
          <w:szCs w:val="20"/>
        </w:rPr>
      </w:pPr>
      <w:r>
        <w:rPr>
          <w:rFonts w:ascii="Arial" w:hAnsi="Arial" w:eastAsia="Arial"/>
          <w:b w:val="0"/>
          <w:sz w:val="20"/>
          <w:szCs w:val="20"/>
        </w:rPr>
        <w:t>________________________________</w:t>
      </w:r>
    </w:p>
    <w:p>
      <w:pPr>
        <w:spacing w:before="0" w:after="0" w:line="276" w:lineRule="auto"/>
        <w:jc w:val="center"/>
        <w:rPr>
          <w:sz w:val="20"/>
          <w:szCs w:val="20"/>
        </w:rPr>
      </w:pPr>
      <w:r>
        <w:rPr>
          <w:rFonts w:ascii="Arial" w:hAnsi="Arial" w:eastAsia="Arial"/>
          <w:b/>
          <w:sz w:val="20"/>
          <w:szCs w:val="20"/>
        </w:rPr>
        <w:t>EDER OSWALDO ORTEGA GONZALES</w:t>
      </w:r>
    </w:p>
    <w:p>
      <w:pPr>
        <w:spacing w:before="0" w:after="0" w:line="276" w:lineRule="auto"/>
        <w:jc w:val="center"/>
        <w:rPr>
          <w:sz w:val="20"/>
          <w:szCs w:val="20"/>
        </w:rPr>
      </w:pPr>
      <w:r>
        <w:rPr>
          <w:rFonts w:ascii="Arial" w:hAnsi="Arial" w:eastAsia="Arial"/>
          <w:b w:val="0"/>
          <w:sz w:val="20"/>
          <w:szCs w:val="20"/>
        </w:rPr>
        <w:t>DNI: 42202029</w:t>
      </w:r>
    </w:p>
    <w:p>
      <w:pPr>
        <w:spacing w:before="0" w:after="0" w:line="276" w:lineRule="auto"/>
        <w:jc w:val="center"/>
        <w:rPr>
          <w:sz w:val="20"/>
          <w:szCs w:val="20"/>
        </w:rPr>
      </w:pPr>
      <w:r>
        <w:rPr>
          <w:rFonts w:ascii="Arial" w:hAnsi="Arial" w:eastAsia="Arial"/>
          <w:b w:val="0"/>
          <w:sz w:val="20"/>
          <w:szCs w:val="20"/>
        </w:rPr>
        <w:t>RUC: 10422020298</w:t>
      </w:r>
    </w:p>
    <w:p>
      <w:pPr>
        <w:spacing w:before="0" w:after="120" w:line="276" w:lineRule="auto"/>
        <w:jc w:val="center"/>
        <w:rPr>
          <w:sz w:val="20"/>
          <w:szCs w:val="20"/>
        </w:rPr>
      </w:pPr>
      <w:r>
        <w:rPr>
          <w:rFonts w:ascii="Arial" w:hAnsi="Arial" w:eastAsia="Arial"/>
          <w:b w:val="0"/>
          <w:sz w:val="20"/>
          <w:szCs w:val="20"/>
        </w:rPr>
        <w:t>Atenta</w:t>
      </w:r>
      <w:bookmarkStart w:id="0" w:name="_GoBack"/>
      <w:bookmarkEnd w:id="0"/>
      <w:r>
        <w:rPr>
          <w:rFonts w:ascii="Arial" w:hAnsi="Arial" w:eastAsia="Arial"/>
          <w:b w:val="0"/>
          <w:sz w:val="20"/>
          <w:szCs w:val="20"/>
        </w:rPr>
        <w:t>mente.</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lfa Slab One"/>
    <w:panose1 w:val="05000000000000000000"/>
    <w:charset w:val="00"/>
    <w:family w:val="auto"/>
    <w:pitch w:val="default"/>
    <w:sig w:usb0="00000000" w:usb1="10000000" w:usb2="00000000" w:usb3="00000000" w:csb0="80000000" w:csb1="00000000"/>
  </w:font>
  <w:font w:name="Alfa Slab One">
    <w:panose1 w:val="00000500000000000000"/>
    <w:charset w:val="00"/>
    <w:family w:val="auto"/>
    <w:pitch w:val="default"/>
    <w:sig w:usb0="20000007" w:usb1="00000001" w:usb2="00000000" w:usb3="00000000" w:csb0="20000193"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Alfa Slab One"/>
    <w:panose1 w:val="00000000000000000000"/>
    <w:charset w:val="80"/>
    <w:family w:val="roman"/>
    <w:pitch w:val="default"/>
    <w:sig w:usb0="00000000" w:usb1="00000000" w:usb2="00000010" w:usb3="00000000" w:csb0="00020000" w:csb1="00000000"/>
  </w:font>
  <w:font w:name="ＭＳ 明朝">
    <w:altName w:val="Alfa Slab One"/>
    <w:panose1 w:val="00000000000000000000"/>
    <w:charset w:val="86"/>
    <w:family w:val="auto"/>
    <w:pitch w:val="default"/>
    <w:sig w:usb0="00000000" w:usb1="00000000" w:usb2="00000000" w:usb3="00000000" w:csb0="00000000" w:csb1="00000000"/>
  </w:font>
  <w:font w:name="ＭＳ ゴシック">
    <w:altName w:val="Alfa Slab One"/>
    <w:panose1 w:val="00000000000000000000"/>
    <w:charset w:val="80"/>
    <w:family w:val="modern"/>
    <w:pitch w:val="default"/>
    <w:sig w:usb0="00000000" w:usb1="00000000" w:usb2="00000010" w:usb3="00000000" w:csb0="00020000" w:csb1="00000000"/>
  </w:font>
  <w:font w:name="ＭＳ 明朝">
    <w:altName w:val="Alfa Slab One"/>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6129A"/>
    <w:multiLevelType w:val="singleLevel"/>
    <w:tmpl w:val="B7F6129A"/>
    <w:lvl w:ilvl="0" w:tentative="0">
      <w:start w:val="6"/>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AF87E4"/>
    <w:rsid w:val="77F7652B"/>
    <w:rsid w:val="7FFD0D2E"/>
    <w:rsid w:val="CD696FA6"/>
    <w:rsid w:val="D779D710"/>
    <w:rsid w:val="EEFF74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python-docx</dc:creator>
  <dc:description>generated by python-docx</dc:description>
  <cp:lastModifiedBy>eder</cp:lastModifiedBy>
  <dcterms:modified xsi:type="dcterms:W3CDTF">2026-09-10T15:04:46Z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