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</w:pPr>
      <w:r>
        <w:t>{ciudad} y {fecha}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t>Señores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t>{dirigido}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</w:p>
    <w:p>
      <w:pPr>
        <w:spacing w:after="0" w:line="240" w:lineRule="auto"/>
      </w:pPr>
      <w:r>
        <w:t>Ciudad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Asunto:</w:t>
      </w:r>
      <w:r>
        <w:tab/>
      </w:r>
      <w:r>
        <w:t>Acción de grupo Art. 88 CP, Ley 472 de 1998</w:t>
      </w:r>
    </w:p>
    <w:p>
      <w:pPr>
        <w:spacing w:after="0" w:line="240" w:lineRule="auto"/>
      </w:pPr>
    </w:p>
    <w:p>
      <w:pPr>
        <w:spacing w:after="0" w:line="240" w:lineRule="auto"/>
        <w:ind w:firstLine="708"/>
      </w:pPr>
      <w:r>
        <w:t xml:space="preserve"> Acción de Grupo de {nombreDemandante} y otros</w:t>
      </w:r>
    </w:p>
    <w:p>
      <w:pPr>
        <w:spacing w:after="0" w:line="240" w:lineRule="auto"/>
      </w:pPr>
      <w:r>
        <w:tab/>
      </w:r>
      <w:r>
        <w:t xml:space="preserve"> Contra: {nombreDemandado}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>Respetado señor Juez: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>{nombreAbogado} , abogado titulado, mayor de edad, domiciliado en {ciudadAbogado}, identificado con la cédula de ciudadanía número {cedulaAbogado} expedida en {ciudadExpedicionAbogado} y tarjeta profesional número {tarjetaProfesional}</w:t>
      </w:r>
      <w:r>
        <w:rPr>
          <w:rFonts w:hint="default"/>
          <w:lang w:val="es-ES"/>
        </w:rPr>
        <w:t xml:space="preserve"> </w:t>
      </w:r>
      <w:r>
        <w:t>del Consejo Superior de la Judicatura; con fundamento en el artículo 88 de la Constitución Política y el artículo 48 de la Ley 472 de 1998, de manera atenta manifiesto al señor Juez que presento ACCIÓN DE GRUPO a favor de</w:t>
      </w:r>
      <w:r>
        <w:rPr>
          <w:lang w:val="es-ES"/>
        </w:rPr>
        <w:t>l</w:t>
      </w:r>
      <w:r>
        <w:t xml:space="preserve"> señor</w:t>
      </w:r>
      <w:r>
        <w:rPr>
          <w:lang w:val="es-ES"/>
        </w:rPr>
        <w:t>(a): {</w:t>
      </w:r>
      <w:r>
        <w:rPr>
          <w:rFonts w:hint="default"/>
          <w:lang w:val="es-ES"/>
        </w:rPr>
        <w:t>entidadDemandada</w:t>
      </w:r>
      <w:r>
        <w:rPr>
          <w:rFonts w:hint="default"/>
          <w:lang w:val="es-ES"/>
        </w:rPr>
        <w:tab/>
      </w:r>
      <w:r>
        <w:rPr>
          <w:lang w:val="es-ES"/>
        </w:rPr>
        <w:t>} y otros, que a continuación se relacionan,</w:t>
      </w:r>
      <w:r>
        <w:t xml:space="preserve"> en contra de</w:t>
      </w:r>
      <w:r>
        <w:rPr>
          <w:rFonts w:hint="default"/>
          <w:lang w:val="es-ES"/>
        </w:rPr>
        <w:t xml:space="preserve"> </w:t>
      </w:r>
      <w:r>
        <w:rPr>
          <w:lang w:val="es-ES"/>
        </w:rPr>
        <w:t>{nombreDemandado}</w:t>
      </w:r>
      <w:r>
        <w:rPr>
          <w:rFonts w:hint="default"/>
          <w:lang w:val="es-ES"/>
        </w:rPr>
        <w:t xml:space="preserve"> representada por {representanteEntidad}</w:t>
      </w:r>
      <w:r>
        <w:rPr>
          <w:lang w:val="es-ES"/>
        </w:rPr>
        <w:t xml:space="preserve"> </w:t>
      </w:r>
      <w:r>
        <w:t>o quien haga sus veces, en razón de las {razonDemanda}, que han causado un daño a los aquí representados los cuales deben ser reparado</w:t>
      </w:r>
      <w:r>
        <w:rPr>
          <w:rFonts w:hint="default"/>
          <w:lang w:val="es-ES"/>
        </w:rPr>
        <w:t>:</w:t>
      </w:r>
    </w:p>
    <w:p>
      <w:pPr>
        <w:spacing w:after="0" w:line="240" w:lineRule="auto"/>
        <w:jc w:val="both"/>
      </w:pPr>
    </w:p>
    <w:p>
      <w:pPr>
        <w:numPr>
          <w:ilvl w:val="0"/>
          <w:numId w:val="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RELACION DE LOS DEMANDANTES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{#demandantes}</w:t>
      </w:r>
    </w:p>
    <w:p>
      <w:pPr>
        <w:pStyle w:val="4"/>
        <w:widowControl w:val="0"/>
        <w:numPr>
          <w:ilvl w:val="0"/>
          <w:numId w:val="2"/>
        </w:numPr>
        <w:spacing w:before="205" w:after="0" w:line="247" w:lineRule="auto"/>
        <w:ind w:right="1"/>
        <w:jc w:val="both"/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  <w:lang w:val="es-ES"/>
        </w:rPr>
        <w:t xml:space="preserve"> </w:t>
      </w:r>
      <w:r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</w:rPr>
        <w:t xml:space="preserve">{nombre}, </w:t>
      </w:r>
      <w:r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  <w:lang w:val="es-ES"/>
        </w:rPr>
        <w:t xml:space="preserve"> con cédula de ciudadanía No </w:t>
      </w:r>
      <w:r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</w:rPr>
        <w:t>{cedula}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{/demandantes}</w:t>
      </w:r>
    </w:p>
    <w:p>
      <w:pPr>
        <w:pStyle w:val="4"/>
        <w:numPr>
          <w:ilvl w:val="0"/>
          <w:numId w:val="1"/>
        </w:numPr>
        <w:spacing w:after="0" w:line="240" w:lineRule="auto"/>
        <w:ind w:left="3540" w:leftChars="0" w:firstLine="0" w:firstLineChars="0"/>
        <w:jc w:val="both"/>
      </w:pPr>
      <w:r>
        <w:t>HECHOS</w:t>
      </w:r>
    </w:p>
    <w:p>
      <w:pPr>
        <w:spacing w:after="0" w:line="240" w:lineRule="auto"/>
        <w:jc w:val="both"/>
      </w:pP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{#hechos}</w:t>
      </w:r>
    </w:p>
    <w:p>
      <w:pPr>
        <w:pStyle w:val="4"/>
        <w:widowControl w:val="0"/>
        <w:numPr>
          <w:numId w:val="0"/>
        </w:numPr>
        <w:spacing w:before="205" w:after="0" w:line="247" w:lineRule="auto"/>
        <w:ind w:left="720" w:leftChars="0" w:right="1" w:rightChars="0"/>
        <w:jc w:val="both"/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{/hechos}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PRETENSIONES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Primera: Condenar a la parte demandada a cancelar al grupo demandante la suma de ${valorPretension} como indemnización colectiva causada por </w:t>
      </w:r>
      <w:r>
        <w:rPr>
          <w:rFonts w:hint="default"/>
          <w:lang w:val="es-ES"/>
        </w:rPr>
        <w:t>{</w:t>
      </w:r>
      <w:r>
        <w:t>nombreDemandante</w:t>
      </w:r>
      <w:r>
        <w:rPr>
          <w:rFonts w:hint="default"/>
          <w:lang w:val="es-ES"/>
        </w:rPr>
        <w:t xml:space="preserve">} y demás. </w:t>
      </w:r>
      <w:r>
        <w:t>La indemnización total e íntegra es el equivalente a la sumatoria ponderada de las indemnizaciones individuales tanto de los demandantes como de aquellas personas que se adhieran a los efectos de la sentencia, por haber sufrido un daño por los mismos hechos</w:t>
      </w:r>
      <w:r>
        <w:rPr>
          <w:rFonts w:hint="default"/>
          <w:lang w:val="es-ES"/>
        </w:rPr>
        <w:t xml:space="preserve">: </w:t>
      </w:r>
      <w:r>
        <w:t>{pretension</w:t>
      </w:r>
      <w:r>
        <w:rPr>
          <w:rFonts w:hint="default"/>
          <w:lang w:val="es-ES"/>
        </w:rPr>
        <w:t>_1</w:t>
      </w:r>
      <w:r>
        <w:t>}</w:t>
      </w:r>
    </w:p>
    <w:p>
      <w:pPr>
        <w:spacing w:after="0" w:line="240" w:lineRule="auto"/>
        <w:jc w:val="both"/>
      </w:pPr>
      <w:r>
        <w:t xml:space="preserve"> 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t xml:space="preserve">Segunda: </w:t>
      </w:r>
      <w:r>
        <w:rPr>
          <w:rFonts w:hint="default"/>
          <w:lang w:val="es-ES"/>
        </w:rPr>
        <w:t>{pretension_2}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Tercera: Condenar a la parte demandada al pago de las costas del proceso, teniendo en cuenta las expensas necesarias para la publicación del extracto de la sentencia en un diario de amplia circulación nacional.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ESTIMACIÓN DE LOS PERJUICIOS CAUSADOS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{perjuicios}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CRITERIOS PARA IDENTIFICAR A LOS INTEGRANTES DEL GRUPO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{criterios}</w:t>
      </w: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IDENTIFICACIÓN DE LA PARTE ACCIONADA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jc w:val="both"/>
      </w:pPr>
      <w:r>
        <w:t>{idefAccionada}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PROCEDENCIA DE LA ACCIÓN DE GRUPO</w:t>
      </w:r>
    </w:p>
    <w:p>
      <w:pPr>
        <w:spacing w:after="0" w:line="240" w:lineRule="auto"/>
        <w:ind w:left="360"/>
        <w:jc w:val="both"/>
      </w:pP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{#procedencia}</w:t>
      </w:r>
    </w:p>
    <w:p>
      <w:pPr>
        <w:pStyle w:val="4"/>
        <w:widowControl w:val="0"/>
        <w:numPr>
          <w:numId w:val="0"/>
        </w:numPr>
        <w:spacing w:before="205" w:after="0" w:line="247" w:lineRule="auto"/>
        <w:ind w:left="720" w:leftChars="0" w:right="1" w:rightChars="0"/>
        <w:jc w:val="both"/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{/procedencia}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 xml:space="preserve">CADUCIDAD 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  <w:r>
        <w:t>La presente acción no ha caducado, toda vez que, los hechos que causaron el daño sucedieron el</w:t>
      </w:r>
      <w:r>
        <w:rPr>
          <w:lang w:val="es-ES"/>
        </w:rPr>
        <w:t xml:space="preserve"> </w:t>
      </w:r>
      <w:r>
        <w:t xml:space="preserve"> {caducidad}, por tal razón, al momento de presentar la acción de grupo no han transcurrido dos (2) años.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PRUEBAS</w:t>
      </w: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 xml:space="preserve">Documentales aportados: 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{#documentales}</w:t>
      </w:r>
    </w:p>
    <w:p>
      <w:pPr>
        <w:pStyle w:val="4"/>
        <w:widowControl w:val="0"/>
        <w:numPr>
          <w:numId w:val="0"/>
        </w:numPr>
        <w:spacing w:before="205" w:after="0" w:line="247" w:lineRule="auto"/>
        <w:ind w:left="720" w:leftChars="0" w:right="1" w:rightChars="0"/>
        <w:jc w:val="both"/>
        <w:rPr>
          <w:rFonts w:hint="default" w:ascii="Calibri" w:hAnsi="Calibri" w:eastAsia="Book Antiqua" w:cs="Calibri"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eastAsia="Book Antiqua" w:cs="Calibri"/>
          <w:bCs/>
          <w:color w:val="000000"/>
          <w:sz w:val="22"/>
          <w:szCs w:val="22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{/documentales}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 xml:space="preserve">Documentales solicitados: 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{#documentalesSOLI}</w:t>
      </w:r>
    </w:p>
    <w:p>
      <w:pPr>
        <w:pStyle w:val="4"/>
        <w:widowControl w:val="0"/>
        <w:numPr>
          <w:ilvl w:val="0"/>
          <w:numId w:val="4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Cs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bCs/>
          <w:color w:val="000000"/>
          <w:sz w:val="24"/>
          <w:szCs w:val="24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{/documentalesSOLI}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ind w:left="360"/>
        <w:jc w:val="both"/>
      </w:pPr>
      <w:r>
        <w:t xml:space="preserve">Periciales o técnicas: 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>
        <w:rPr>
          <w:rFonts w:ascii="Book Antiqua" w:hAnsi="Book Antiqua" w:eastAsia="Book Antiqua" w:cs="Book Antiqua"/>
          <w:color w:val="000000"/>
          <w:sz w:val="24"/>
          <w:szCs w:val="24"/>
        </w:rPr>
        <w:t>{#periciales}</w:t>
      </w:r>
    </w:p>
    <w:p>
      <w:pPr>
        <w:pStyle w:val="4"/>
        <w:widowControl w:val="0"/>
        <w:numPr>
          <w:ilvl w:val="0"/>
          <w:numId w:val="5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Cs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bCs/>
          <w:color w:val="000000"/>
          <w:sz w:val="24"/>
          <w:szCs w:val="24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{/periciales}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>Testimoniales:</w:t>
      </w:r>
    </w:p>
    <w:p>
      <w:pPr>
        <w:spacing w:after="0" w:line="240" w:lineRule="auto"/>
        <w:ind w:left="360"/>
        <w:jc w:val="both"/>
      </w:pP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{#testimoniales}</w:t>
      </w:r>
    </w:p>
    <w:p>
      <w:pPr>
        <w:pStyle w:val="4"/>
        <w:widowControl w:val="0"/>
        <w:numPr>
          <w:ilvl w:val="0"/>
          <w:numId w:val="6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Cs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bCs/>
          <w:color w:val="000000"/>
          <w:sz w:val="24"/>
          <w:szCs w:val="24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{/testimoniales}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FUNDAMENTOS CONSTITUCIONALES Y LEGALES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Artículo 88 de la Constitución Política.</w:t>
      </w:r>
    </w:p>
    <w:p>
      <w:pPr>
        <w:spacing w:after="0" w:line="240" w:lineRule="auto"/>
        <w:jc w:val="both"/>
      </w:pPr>
      <w:r>
        <w:t xml:space="preserve">Artículos 46 al 69 de la Ley 142 de 1998.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COMPETENCIA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{competencia}</w:t>
      </w:r>
    </w:p>
    <w:p>
      <w:pPr>
        <w:spacing w:after="0" w:line="240" w:lineRule="auto"/>
        <w:jc w:val="center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ANEXOS</w:t>
      </w:r>
    </w:p>
    <w:p>
      <w:pPr>
        <w:spacing w:after="0" w:line="240" w:lineRule="auto"/>
        <w:jc w:val="both"/>
        <w:rPr>
          <w:u w:val="single"/>
        </w:rPr>
      </w:pPr>
    </w:p>
    <w:p>
      <w:pPr>
        <w:spacing w:after="0" w:line="240" w:lineRule="auto"/>
        <w:jc w:val="both"/>
      </w:pPr>
      <w:r>
        <w:t>Adjunto a la presente acción los documentos indicados en el aparte de pruebas, poder a mi favor, copia del presente escrito con sus anexos para el traslado a la entidad accionada y al Ministerio Público y copia simple para el archivo.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center"/>
      </w:pPr>
      <w:r>
        <w:t>NOTIFICACIONES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 parte demandada, representada por {nombreDemandante} o quien haga sus veces, puede ser notificada en su domicilio principal situado en {domicilioDemandante} de la ciudad de {ciudadDemandado}.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La parte demandante en {domicilioDemandante} de la ciudad de {ciudadDemandante}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El suscrito abogado en {abogadoSuscrito} o en la secretaría del despacho.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 (o magistrado),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{nombreAbogado}</w:t>
      </w:r>
    </w:p>
    <w:p>
      <w:pPr>
        <w:spacing w:after="0" w:line="240" w:lineRule="auto"/>
        <w:jc w:val="both"/>
      </w:pPr>
      <w:r>
        <w:t>C.C. {cedulaAbogado}</w:t>
      </w:r>
    </w:p>
    <w:p>
      <w:pPr>
        <w:spacing w:after="0" w:line="240" w:lineRule="auto"/>
        <w:jc w:val="both"/>
      </w:pPr>
      <w:r>
        <w:t>T.P.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Nota -&gt; Formulario diligenciado solamente por abogados.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0F0895"/>
    <w:multiLevelType w:val="singleLevel"/>
    <w:tmpl w:val="EE0F0895"/>
    <w:lvl w:ilvl="0" w:tentative="0">
      <w:start w:val="1"/>
      <w:numFmt w:val="upperRoman"/>
      <w:suff w:val="space"/>
      <w:lvlText w:val="%1."/>
      <w:lvlJc w:val="left"/>
      <w:pPr>
        <w:ind w:left="3540" w:firstLine="0"/>
      </w:pPr>
    </w:lvl>
  </w:abstractNum>
  <w:abstractNum w:abstractNumId="1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15A05"/>
    <w:multiLevelType w:val="multilevel"/>
    <w:tmpl w:val="18215A05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E367DC"/>
    <w:multiLevelType w:val="multilevel"/>
    <w:tmpl w:val="3AE367DC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E5E1C"/>
    <w:multiLevelType w:val="multilevel"/>
    <w:tmpl w:val="500E5E1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0C41D7"/>
    <w:multiLevelType w:val="multilevel"/>
    <w:tmpl w:val="560C41D7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417D0"/>
    <w:rsid w:val="000F6BCE"/>
    <w:rsid w:val="001217F2"/>
    <w:rsid w:val="00126059"/>
    <w:rsid w:val="001903BA"/>
    <w:rsid w:val="001C024E"/>
    <w:rsid w:val="001F7986"/>
    <w:rsid w:val="00366BCE"/>
    <w:rsid w:val="004243AD"/>
    <w:rsid w:val="00452CBA"/>
    <w:rsid w:val="004E1D03"/>
    <w:rsid w:val="005B044D"/>
    <w:rsid w:val="005D3251"/>
    <w:rsid w:val="00612B21"/>
    <w:rsid w:val="0066453B"/>
    <w:rsid w:val="0074020E"/>
    <w:rsid w:val="00753CD0"/>
    <w:rsid w:val="00766503"/>
    <w:rsid w:val="008260ED"/>
    <w:rsid w:val="00885F16"/>
    <w:rsid w:val="00887D5A"/>
    <w:rsid w:val="008D6273"/>
    <w:rsid w:val="00934C91"/>
    <w:rsid w:val="00943DB7"/>
    <w:rsid w:val="009B1504"/>
    <w:rsid w:val="009B1B20"/>
    <w:rsid w:val="009C4F3A"/>
    <w:rsid w:val="00A04F5A"/>
    <w:rsid w:val="00A21E8A"/>
    <w:rsid w:val="00A85E61"/>
    <w:rsid w:val="00B80779"/>
    <w:rsid w:val="00BE1B61"/>
    <w:rsid w:val="00C32048"/>
    <w:rsid w:val="00D9743C"/>
    <w:rsid w:val="00E03B2B"/>
    <w:rsid w:val="00E1712B"/>
    <w:rsid w:val="00E35DF9"/>
    <w:rsid w:val="00E42521"/>
    <w:rsid w:val="00E61341"/>
    <w:rsid w:val="00ED4DF4"/>
    <w:rsid w:val="00EE7981"/>
    <w:rsid w:val="00F72FED"/>
    <w:rsid w:val="00F8548F"/>
    <w:rsid w:val="00F923AE"/>
    <w:rsid w:val="17EC5FE2"/>
    <w:rsid w:val="241369E3"/>
    <w:rsid w:val="486A20DE"/>
    <w:rsid w:val="49A9253C"/>
    <w:rsid w:val="4DA66C47"/>
    <w:rsid w:val="4FAB4475"/>
    <w:rsid w:val="5BAB48F4"/>
    <w:rsid w:val="718225C7"/>
    <w:rsid w:val="73BC0E5A"/>
    <w:rsid w:val="747002B8"/>
    <w:rsid w:val="74CE1586"/>
    <w:rsid w:val="7AB85E35"/>
    <w:rsid w:val="7D5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597</Words>
  <Characters>3287</Characters>
  <Lines>27</Lines>
  <Paragraphs>7</Paragraphs>
  <TotalTime>5</TotalTime>
  <ScaleCrop>false</ScaleCrop>
  <LinksUpToDate>false</LinksUpToDate>
  <CharactersWithSpaces>3877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2023-07-13T23:32:00Z</dcterms:created>
  <dc:creator>Alberto Parrado Santacruz</dc:creator>
  <cp:lastModifiedBy>Ramiro Avila</cp:lastModifiedBy>
  <dcterms:modified xsi:type="dcterms:W3CDTF">2023-08-23T18:30:40Z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3082-12.2.0.13190</vt:lpwstr>
  </property>
  <property fmtid="{D5CDD505-2E9C-101B-9397-08002B2CF9AE}" pid="3" name="ICV">
    <vt:lpwstr>33026051EC1246A7A61F529C1EB50127</vt:lpwstr>
  </property>
</Properties>
</file>