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" w:hAnsi="PingFang SC" w:cs="PingFang SC"/>
          <w:sz w:val="24"/>
          <w:sz-cs w:val="24"/>
          <w:spacing w:val="0"/>
          <w:color w:val="495465"/>
        </w:rPr>
        <w:t xml:space="preserve">FROM PROJECT TO PRACTICE</w:t>
      </w:r>
    </w:p>
    <w:p>
      <w:pPr>
        <w:jc w:val="center"/>
        <w:spacing w:after="213"/>
      </w:pPr>
      <w:r>
        <w:rPr>
          <w:rFonts w:ascii="PingFang SC Semibold" w:hAnsi="PingFang SC Semibold" w:cs="PingFang SC Semibold"/>
          <w:sz w:val="80"/>
          <w:sz-cs w:val="80"/>
          <w:b/>
          <w:spacing w:val="0"/>
          <w:color w:val="193B65"/>
        </w:rPr>
        <w:t xml:space="preserve">量化交易可持续学习指南</w:t>
      </w:r>
    </w:p>
    <w:p>
      <w:pPr>
        <w:jc w:val="center"/>
      </w:pPr>
      <w:r>
        <w:rPr>
          <w:rFonts w:ascii="PingFang SC" w:hAnsi="PingFang SC" w:cs="PingFang SC"/>
          <w:sz w:val="40"/>
          <w:sz-cs w:val="40"/>
          <w:spacing w:val="0"/>
          <w:color w:val="39526B"/>
        </w:rPr>
        <w:t xml:space="preserve">以 Sequoia-X 技术因子为索引，系统学习股票、量化研究、回测与风险管理</w:t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26178"/>
        </w:rPr>
        <w:t xml:space="preserve">学习周期建议：12 个月起步，持续迭代</w:t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26178"/>
        </w:rPr>
        <w:t xml:space="preserve">文档日期：2026-08-03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目录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学习原则与能力地图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股票市场与 A 股交易制度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财务报表、估值与基本面因子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技术分析与项目指标词典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统计、概率与机器学习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量化研究完整流程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回测、偏差与样本外验证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8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组合、仓位与风险管理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9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交易执行、成本与模拟交易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10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工程化与数据能力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12 个月学习路线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持续研究模板与验收标准</w:t>
      </w:r>
    </w:p>
    <w:p>
      <w:pPr>
        <w:ind w:left="720" w:first-line="-720"/>
        <w:spacing w:after="13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参考资料与项目实践题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1. 学习原则与能力地图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量化交易不是“学会几个指标后找高胜率公式”，而是把市场机制、数据、统计推断、策略逻辑、风险管理、执行成本和软件工程连成闭环。可持续学习的核心，是每个结论都能被数据复现、被样本外检验、被成本压力测试，并允许被证伪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以项目现状为第一课：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Sequoia-X 当前规则审计显著跑输基准。这不是学习失败，而是最真实的研究起点：代码能运行、测试能通过，不代表策略存在可交易优势。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能力层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需要掌握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在项目中的对应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市场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A 股制度、订单与价格形成、公司与行业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market_rules、涨跌停、T+1、行业映射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数据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复权、状态、公告时间、缺失与偏差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DataEngine、stock_daily、financial_factors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研究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因子、信号、假设、横截面/时间序列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strategy 目录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验证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回测、样本外、归因、稳健性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backtest、walk-forward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风险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仓位、止损、回撤、集中度、热度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paper_trading、thresholds.ini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工程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测试、配置、日志、持久化、调度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pytest、Pydantic、SQLite、cron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2. 股票市场与 A 股交易制度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2.1 股票收益从哪里来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盈利增长：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公司未来现金流增长。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估值变化：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市场愿意支付的 PE/PB 倍数变化。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分红与回购：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现金回报和股份数量变化。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风险补偿：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承担流动性、波动、财务或政策风险获得的预期回报。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短中期价格还受资金流、情绪、事件和交易约束影响。技术因子更多描述价格与成交行为，基本面因子更多描述企业质量与估值；二者不是互斥流派。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2.2 A 股必须掌握的规则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规则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含义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研究影响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T+1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当日买入通常次日才能卖出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不能模拟日内止损；需按批次记录可卖数量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100 股一手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买入数量通常为 100 的整数倍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小资金仓位会离散化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涨跌停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主板10%、创业/科创20%、北交所30%、ST 5%等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信号出现不代表能成交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停牌/ST/上市初期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交易能力与限价规则特殊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需要历史状态，不能用今天状态回看过去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费用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佣金、最低佣金、卖出印花税、滑点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高换手策略可能被成本吞噬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2.3 建议学习成果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能够独立解释一笔 A 股交易从信号日收盘、次日委托、是否封板、成交数量、费用、T+1 可卖日到最终盈亏的全过程。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3. 财务报表、估值与基本面因子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3.1 三张表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利润表：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收入、成本、利润；回答“赚不赚钱”。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资产负债表：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资产、负债、权益；回答“靠什么资产和融资赚钱”。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现金流量表：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经营、投资、筹资现金流；回答“利润有没有变成现金”。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3.2 项目中的基本面名词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因子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定义/直觉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常见陷阱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ROE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净利润/股东权益，衡量权益资本效率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高杠杆、一次性收益可抬高 ROE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营收同比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本期收入相对去年同期增长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低基数、并购和周期波动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净利润同比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利润增长速度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非经常损益、资产减值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毛利率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(收入-营业成本)/收入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行业不可直接横比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经营现金流质量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经营现金流与利润/EPS 的匹配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季节性、营运资本变化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PE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市值/净利润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亏损时失真；周期顶部看似低估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PB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市值/净资产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轻资产行业可比性差；资产质量重要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3.3 时间对齐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财务数据必须按公告日期生效，而不是按报告期结束日期提前使用。例如 2025 年年报在 2026 年 3 月公告，回测在公告前不能看到它。这个细节是防止未来函数的关键。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4. 技术分析与项目指标词典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4.1 价格与趋势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名词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含义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学习重点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收益率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价格相对变化，常用简单收益或对数收益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不同周期不可简单相加；注意复权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MA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过去 N 日收盘均值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滞后指标；适合描述趋势而非预测拐点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均线偏离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价格/均线-1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可表示趋势强度，也可表示过热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突破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价格超过过去窗口高点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窗口必须排除当日，避免自我引用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回撤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当前净值或价格相对历史峰值的跌幅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路径风险，比波动率更直观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4.2 动量、波动和量价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动量：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过去上涨的资产未来一段时间继续相对强势的统计现象；项目使用 12-1 动量以跳过最近约 21 日，降低短期反转干扰。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RPS：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同一天把股票按过去收益排序后的百分位。RPS 90 不是上涨 90%，而是强于约 90% 的股票。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RSI：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上涨与下跌幅度的相对强弱，0–100。超买不等于立刻下跌，超卖也不等于立刻反弹。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ATR：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包含跳空影响的真实波幅均值；适合设置与波动相适应的止损距离。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波动率：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收益率标准差；低波动因子偏好波动较低的股票。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量比：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当期成交量相对历史均量；盘中需要按已过交易时间估算全天量。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换手/成交额：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反映流动性和市场参与；成交额过滤比单纯成交量更便于跨股比较。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OBV：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按涨跌方向累加成交量，观察价格与量能是否背离。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上影线：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最高价与实体上沿之差，长上影常表示冲高回落，但必须结合位置和量能。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4.3 形态与策略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海龟突破：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基于过去 N 日高点的趋势跟随；优势来自少数大盈利覆盖多次小亏损。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高而窄旗形：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强上涨后在高位窄幅、缩量整理，再次突破确认。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涨停洗盘/巨量分歧：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涨停后大成交阴线可能是分歧与派发风险，项目只作为风险标签。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上升趋势跌停：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趋势中突然放量跌停是结构破坏信号，组合层可否决新仓。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市场宽度：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上涨或站上均线股票的比例，比单一指数更能描述普涨/分化。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5. 统计、概率与机器学习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5.1 最低数学基础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均值、中位数、方差、标准差、分位数和相关系数。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条件概率、贝叶斯直觉、期望值与方差。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抽样误差、置信区间、假设检验与多重比较。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线性代数基础：向量、矩阵、点积；微积分只需理解优化直觉。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5.2 交易最重要的概率观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胜率不是策略质量的充分条件。期望值约为：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期望收益 = 胜率 × 平均盈利 − 败率 × 平均亏损 − 交易成本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趋势策略可能胜率低但盈亏比高；均值回归策略可能胜率高但偶尔巨亏。必须同时看收益分布、尾部风险、最大回撤和资金容量。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5.3 项目中的模型和指标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名词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解释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正确用法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逻辑回归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线性分类模型，输出上涨概率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可解释、稳定，需标准化特征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梯度提升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非线性树模型，捕捉交互关系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更易过拟合，需严格时间验证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集成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组合多个模型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降低单模型偏差，但不是自动提升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ROC AUC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随机正负样本排序正确的概率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衡量排序，不代表策略收益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Accuracy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方向预测正确率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要与基准准确率比较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Balanced Accuracy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正负类别召回率均值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类别不平衡时更可靠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Brier Score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概率预测均方误差，越低越好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评估概率校准，不只看方向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概率校准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让预测 60% 的事件约有 60% 发生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校准集必须与训练/测试隔离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6. 量化研究完整流程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提出经济假设：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为什么这个信号可能获得收益？谁在提供收益？为什么不会立即消失？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定义数据时点：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每个字段何时真正可得，是否存在修订和延迟。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定义股票池：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上市时间、ST、停牌、退市、流动性和板块规则。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构造信号：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明确公式、窗口、排序方向和再平衡频率。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指定成交模型：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信号何时生成、何时交易、价格、费用、可成交限制。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设置风险：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单股、行业、策略组、总仓位、单笔风险和退出规则。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7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训练/验证/测试：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只用训练集做选择，验证集做有限决策，测试集最终检验。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8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归因和压力测试：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按年份、市场、行业、市值、成本、参数和退出原因拆解。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9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纸面交易：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记录信号到成交的真实延迟、滑点和异常。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10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小规模实盘：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只有在制度、合规与风险门槛满足后，由人工监督逐步推进。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6.1 一个合格的研究问题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示例：“在 2015–2024 A 股非 ST、上市满 120 日且日均成交额超过 8,000 万元的股票中，20/60/120 日 RPS 共振并突破 120 日前高，是否在次日开盘买入、持有最多 15 日后，在扣除 10bp 滑点和实际费用后，仍能在滚动样本外获得正收益？”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7. 回测、偏差与样本外验证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7.1 必须识别的偏差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偏差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表现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防范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未来函数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使用未来价格、公告或完整窗口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信号窗口 shift；按公告日生效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幸存者偏差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只回测今天仍上市的股票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保留历史退市股票和当时股票池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数据窥探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同一测试集反复调参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冻结测试集；记录实验次数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选择偏差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只报告最好的策略/时期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预先注册指标；报告全部结果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成交偏差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默认信号价可成交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次日成交、涨跌停、停牌、滑点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复权错误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复权价用于资金和成交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指标价与真实成交价分离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7.2 评价指标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年化收益：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把区间收益换算为年度复合速度。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年化波动：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日收益标准差乘 √252。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Sharpe：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单位总波动的超额收益；负值说明风险未获补偿。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Sortino：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只用下行波动衡量风险调整收益。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最大回撤：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从峰值到谷值的最大跌幅。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Calmar：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年化收益/最大回撤绝对值。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Profit Factor：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总盈利/总亏损；小于 1 表示亏损。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换手率：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交易金额相对资本的周转；直接决定成本敏感性。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暴露率：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资金实际在市场中的比例。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7.3 Walk-forward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按时间滚动：训练 252 日、测试 63 日；窗口向前推进，只拼接测试段。优势是更接近真实“当时只能看到过去”的研究过程。还应检查参数是否频繁跳变：如果每个窗口最优参数完全不同，策略可能不稳定。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8. 组合、仓位与风险管理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8.1 风险预算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若本金 100,000 元，单笔允许风险 0.8% 即 800 元；入场价 10 元，止损价 9.2 元，每股风险 0.8 元，理论风险仓位为 1,000 股，再与单股 10%、流动性和一手约束取更小值。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风险股数 = 单笔风险金额 / (入场价 − 止损价)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实际股数 = min(风险股数, 单股上限, 可用现金上限)，再向下取整到100股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8.2 组合热度与集中度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组合热度：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所有持仓从当前价到止损价的潜在损失之和/本金。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行业集中度：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单行业市值占组合比例，防止行业共振造成伪分散。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策略组集中度：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不同股票可能来自同一趋势策略，本质风险高度相关。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市场状态仓位：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强势市场可提高上限，弱势市场主动降仓。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8.3 止损与退出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止损不能单独创造正期望。初始止损控制单笔尾部；移动止盈保护已有利润；MA20/MA60 属于趋势结构退出；时间止损释放低效率资金。必须用退出原因归因检查哪种规则实际贡献或损害收益。项目当前初始止损和 MA60 退出损失较大，提示应优先改善入场质量和跳空成交模型，而非简单把止损调宽。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9. 交易执行、成本与模拟交易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9.1 成本模型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佣金按成交额比例，且可能有最低 5 元。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卖出印花税只在卖出侧收取。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滑点描述模型价与实际成交价的差异。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冲击成本随订单相对成交量的比例增大。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封涨停/跌停时即使价格到达也可能没有成交队列。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9.2 为什么要纸面交易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回测验证研究逻辑，纸面交易验证运行链路：实时数据是否稳定、信号是否按时、通知是否遗漏、实际可成交价与假设偏差、T+1 和批次是否正确。纸面交易仍没有真实市场冲击和心理压力，不能替代小规模实盘验证。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9.3 交易日志最小字段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研究版本、信号时间、股票池、来源策略、入场理由、风险标签、计划价/实际价、数量、费用、止损、目标/退出条件、持有期、退出原因、市场状态、偏离原因和复盘结论。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10. 工程化与数据能力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10.1 Python 学习顺序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语法、函数、类、类型标注、异常和上下文管理器。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NumPy 数组与向量化；pandas 索引、groupby、rolling、shift、rank、merge。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SQLite、SQL 的 SELECT/JOIN/GROUP BY/索引/事务。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pytest fixture、mock、参数化和边界测试。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日志、配置、CLI、并发、定时任务和数据文件协议。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scikit-learn pipeline、时间切分、指标和校准。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10.2 项目中的工程概念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OOP：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BaseStrategy 定义统一生命周期，具体策略实现 </w:t>
      </w:r>
      <w:r>
        <w:rPr>
          <w:rFonts w:ascii="Menlo" w:hAnsi="Menlo" w:cs="Menlo"/>
          <w:sz w:val="29"/>
          <w:sz-cs w:val="29"/>
          <w:spacing w:val="0"/>
          <w:color w:val="121826"/>
        </w:rPr>
        <w:t xml:space="preserve">_run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向量化：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用 rolling/groupby 一次计算整列，避免逐行 Python 循环。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幂等性：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同日重复运行不应重复累计连续入选或重复发送同类盘中预警。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迁移：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旧 SQLite 自动增加真实价格和基础信息字段。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降级：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外部同步失败时使用本地数据继续，但必须标记数据日期和告警。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可观测性：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日志、飞书系统告警、净值历史和归因报告。</w:t>
      </w:r>
    </w:p>
    <w:p>
      <w:pPr>
        <w:ind w:left="720" w:first-line="-720"/>
        <w:spacing w:after="53"/>
      </w:pPr>
      <w:r>
        <w:rPr>
          <w:rFonts w:ascii="PingFang SC Semibold" w:hAnsi="PingFang SC Semibold" w:cs="PingFang SC Semibold"/>
          <w:sz w:val="29"/>
          <w:sz-cs w:val="29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配置外置：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thresholds.ini 使规则可审计，但也要求严格管理实验版本。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11. 12 个月学习路线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阶段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时间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主题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可交付成果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第1–2月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A 股制度、收益/复权、Python/pandas/SQL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解释 stock_daily；手算一笔含费用交易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2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第3月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财务三表、ROE、增长、PE/PB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选5家公司做跨年财务卡片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3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第4月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MA、RPS、RSI、ATR、量价、突破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用本地数据复现3个指标并画图核验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4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第5–6月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概率统计、回归、分类、评价指标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复现预测特征与时间切分；解释 Brier/AUC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5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第7月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回测偏差、事件驱动、成本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写一份无未来函数的单策略回测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6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第8月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组合、风险预算、回撤、归因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实现风险仓位计算和行业集中度报告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7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第9–10月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因子研究、行业中性、walk-forward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完成一个预注册的样本外因子实验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8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第11月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纸面交易、监控、故障恢复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连续20个交易日运行并记录链路偏差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9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第12月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综合复盘与研究治理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研究报告、复现实验包、继续/停止决策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每周节奏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2 小时理论：教材/论文与公式。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3 小时代码：复现项目中的一个函数或指标。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2 小时研究：完成一个小假设，不同时改多个变量。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1 小时复盘：记录失败原因、数据问题和下一步。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12. 持续研究模板与验收标准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12.1 实验卡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字段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填写要求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假设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一句话说明经济机制与预期方向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数据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来源、字段、可得时间、覆盖期、缺失处理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股票池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板块、上市天数、ST/停牌、流动性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信号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精确公式、窗口、阈值、再平衡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执行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信号时间、成交时间/价格、费用、涨跌停/T+1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验证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训练/验证/测试边界，主指标和停止条件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风险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仓位、止损、集中度、最大允许回撤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结果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收益、回撤、换手、稳定性、归因、失败场景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决定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21826"/>
        </w:rPr>
        <w:t xml:space="preserve">继续、修改、合并或淘汰，并说明理由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12.2 从研究到实盘的闸门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代码测试通过，且指标与人工样本核验一致。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数据覆盖和历史状态质量达到预设标准。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多个不重叠样本外窗口为正，结果不是单一年份/行业贡献。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成本翻倍、滑点恶化、参数轻微扰动后仍可接受。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最大回撤、组合热度和集中度满足个人风险承受能力。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纸面交易至少覆盖不同市场环境，运行链路稳定。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小规模实盘有明确止损、停机和人工接管机制。</w:t>
      </w:r>
    </w:p>
    <w:p>
      <w:pPr>
        <w:spacing w:after="213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93B65"/>
        </w:rPr>
        <w:t xml:space="preserve">13. 参考资料与项目实践题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13.1 推荐资料类别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市场基础：中国证券登记结算、沪深北交易所公开规则与投资者教育资料。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财务分析：会计三表、公司金融、估值基础教材；优先学会读原始财报。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量化基础：时间序列、因子投资、组合理论、市场微观结构。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统计学习：概率统计、回归、分类、模型校准、交叉验证与多重检验。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工程：Python 官方文档、pandas、SQLite、pytest、scikit-learn 官方文档。</w:t>
      </w:r>
    </w:p>
    <w:p>
      <w:pPr>
        <w:spacing w:after="186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阅读顺序应从规则和教材到论文，再到博客和短视频。任何“高胜率公式”都要求作者说明股票池、时间、费用、样本外和最大回撤。</w:t>
      </w:r>
    </w:p>
    <w:p>
      <w:pPr>
        <w:spacing w:after="186"/>
      </w:pPr>
      <w:r>
        <w:rPr>
          <w:rFonts w:ascii="PingFang SC Semibold" w:hAnsi="PingFang SC Semibold" w:cs="PingFang SC Semibold"/>
          <w:sz w:val="37"/>
          <w:sz-cs w:val="37"/>
          <w:b/>
          <w:spacing w:val="0"/>
          <w:color w:val="255FA6"/>
        </w:rPr>
        <w:t xml:space="preserve">13.2 基于 Sequoia-X 的实践题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抽取 10 只股票，验证复权 close 与 raw_close 在除权日的差异。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手工核验 RPS 20/60/120 排名，确认百分位方向正确。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比较 Turtle 在 1.2、1.5、2.0 最小量比下的信号数，不看收益先解释经济含义。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把交易成本加倍，观察 MaVolume 和 Turtle 的净收益变化。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按牛/熊/震荡、行业和市值拆解 ComprehensiveTrend。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检查财务公告日期前后，因子是否在正确日期进入回测。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对预测模型制作概率分箱校准表，而不只看准确率。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8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复盘当前回测 131 笔初始止损：按跳空、入场等级和市场状态分组。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9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设计一个“策略淘汰规则”，避免因为投入时间而保留无效策略。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最终目标：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成为能够提出可证伪假设、构建无未来函数数据集、实现真实约束回测、控制风险并坦然淘汰无效策略的研究者，而不是积累越来越多的指标名词。</w:t>
      </w:r>
    </w:p>
    <w:p>
      <w:pPr>
        <w:spacing w:after="186"/>
      </w:pPr>
      <w:r>
        <w:rPr>
          <w:rFonts w:ascii="PingFang SC" w:hAnsi="PingFang SC" w:cs="PingFang SC"/>
          <w:sz w:val="24"/>
          <w:sz-cs w:val="24"/>
          <w:spacing w:val="0"/>
          <w:color w:val="495465"/>
        </w:rPr>
        <w:t xml:space="preserve">本文档用于学习与研究，不构成证券投资建议。股票和量化交易可能造成本金损失。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