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" w:hAnsi="PingFang SC" w:cs="PingFang SC"/>
          <w:sz w:val="24"/>
          <w:sz-cs w:val="24"/>
          <w:spacing w:val="0"/>
          <w:color w:val="495465"/>
        </w:rPr>
        <w:t xml:space="preserve">SEQUOIA-X V2 · A 股量化研究系统</w:t>
      </w:r>
    </w:p>
    <w:p>
      <w:pPr>
        <w:jc w:val="center"/>
        <w:spacing w:after="266"/>
      </w:pPr>
      <w:r>
        <w:rPr>
          <w:rFonts w:ascii="PingFang SC Semibold" w:hAnsi="PingFang SC Semibold" w:cs="PingFang SC Semibold"/>
          <w:sz w:val="80"/>
          <w:sz-cs w:val="80"/>
          <w:b/>
          <w:spacing w:val="0"/>
          <w:color w:val="193B65"/>
        </w:rPr>
        <w:t xml:space="preserve">项目技术文档与使用手册</w:t>
      </w:r>
    </w:p>
    <w:p>
      <w:pPr>
        <w:jc w:val="center"/>
      </w:pPr>
      <w:r>
        <w:rPr>
          <w:rFonts w:ascii="PingFang SC" w:hAnsi="PingFang SC" w:cs="PingFang SC"/>
          <w:sz w:val="40"/>
          <w:sz-cs w:val="40"/>
          <w:spacing w:val="0"/>
          <w:color w:val="39526B"/>
        </w:rPr>
        <w:t xml:space="preserve">架构、数据、策略、回测、预测、盘中监控与运维指南</w:t>
      </w:r>
    </w:p>
    <w:p>
      <w:pPr>
        <w:jc w:val="center"/>
      </w:pPr>
      <w:r>
        <w:rPr>
          <w:rFonts w:ascii="PingFang SC" w:hAnsi="PingFang SC" w:cs="PingFang SC"/>
          <w:sz w:val="29"/>
          <w:sz-cs w:val="29"/>
          <w:spacing w:val="0"/>
          <w:color w:val="526178"/>
        </w:rPr>
        <w:t xml:space="preserve">基于仓库源码与配置整理</w:t>
      </w:r>
    </w:p>
    <w:p>
      <w:pPr>
        <w:jc w:val="center"/>
      </w:pPr>
      <w:r>
        <w:rPr>
          <w:rFonts w:ascii="PingFang SC" w:hAnsi="PingFang SC" w:cs="PingFang SC"/>
          <w:sz w:val="29"/>
          <w:sz-cs w:val="29"/>
          <w:spacing w:val="0"/>
          <w:color w:val="526178"/>
        </w:rPr>
        <w:t xml:space="preserve">文档日期：2026-08-03</w:t>
      </w:r>
    </w:p>
    <w:p>
      <w:pPr>
        <w:jc w:val="center"/>
      </w:pPr>
      <w:r>
        <w:rPr>
          <w:rFonts w:ascii="PingFang SC" w:hAnsi="PingFang SC" w:cs="PingFang SC"/>
          <w:sz w:val="29"/>
          <w:sz-cs w:val="29"/>
          <w:spacing w:val="0"/>
          <w:color w:val="526178"/>
        </w:rPr>
        <w:t xml:space="preserve">适用版本：2.0.0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目录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文档定位与结论摘要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项目目标、边界与关键能力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总体架构与核心数据流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目录结构与模块职责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技术栈与工程设计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数据模型与数据源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策略体系与组合决策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8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回测、预测、持仓与模拟交易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9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安装配置与命令使用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10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定时调度、日志与故障处理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测试、验证与质量现状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风险、限制与改进路线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附录：配置、文件和命令速查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文档定位：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本手册用于理解、部署、运行、维护和二次开发 Sequoia-X。它不是投资建议，也不代表系统已满足自动实盘交易要求。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1. 文档定位与结论摘要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Sequoia-X 是一个面向 A 股的 Python 量化研究与辅助决策项目。系统围绕本地 SQLite 行情库构建，从 baostock/AKShare 获取数据，执行多种技术与横截面策略，经组合层进行共振、风险过滤和趋势确认，再输出飞书通知、持仓观察、概率预测、盘中预警及本地模拟交易结果。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代码质量快照：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仓库约 9,752 行 Python；本次核验运行 </w:t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.venv/bin/python -m pytest -q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，74 项测试全部通过。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有效性快照：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仓库当前规则审计（2025-07-01 至 2026-07-30）总收益 -19.50%，基准收益 +9.03%，最大回撤 -35.65%，Sharpe -0.935。当前实现应作为研究、信号验证和模拟交易平台，不应直接用于无人值守实盘自动下单。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2. 项目目标、边界与关键能力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2.1 目标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建立可增量更新、可离线继续运行的 A 股日线研究数据库。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用统一策略接口扫描全市场，并通过组合层减少相似策略重复计权。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用事件驱动回测复现 T+1、涨跌停、费用、滑点和仓位约束。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把日线正式信号与盘中临时报价隔离，防止未收盘数据污染。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以飞书卡片、CSV、JSON、SQLite 和 Markdown 报表提供可解释输出。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2.2 明确边界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项目没有券商下单接口；真实持仓仅记录于 </w:t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data/portfolio.csv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。</w:t>
      </w:r>
    </w:p>
    <w:p>
      <w:pPr>
        <w:ind w:left="720" w:first-line="-720"/>
        <w:spacing w:after="53"/>
      </w:pPr>
      <w:r>
        <w:rPr>
          <w:rFonts w:ascii="Menlo" w:hAnsi="Menlo" w:cs="Menlo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paper_trading.db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 是本地模拟账户，不会修改真实持仓。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概率预测给出统计概率，不保证收益；日线选股也不等于买入指令。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工作日 cron 不能自动识别中国法定休市日。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外部数据源可能延迟、缺字段、限流或接口变更，系统存在降级路径但不能消除数据风险。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3. 总体架构与核心数据流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baostock（日K/状态） ─┐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AKShare（财务/行业） ─┼─&gt; DataEngine + SQLite/CSV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实时行情接口 ─────────┘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                       ├─&gt; 独立策略扫描（最多4线程）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                       │       └─&gt; StrategyCombiner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                       │             ├─&gt; JSON快照/连续入选状态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                       │             ├─&gt; 飞书核心决策卡片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                       │             └─&gt; 预测跟踪池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                       ├─&gt; 持仓建议/收益刷新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                       ├─&gt; 事件驱动回测/滚动样本外验证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                       └─&gt; 盘中监控 ─&gt; 预警 ─&gt; 模拟交易/飞书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3.1 日常盘后流程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加载 </w:t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.env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 与 </w:t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config/thresholds.ini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初始化日志与 SQLite 表结构，必要时迁移旧表字段。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单连接串行登录 baostock，执行增量同步；达到软配额或同步失败时告警并使用本地数据。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刷新低价多因子、持仓观察与全部策略。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独立策略并发运行，异常策略被隔离，不阻断其他策略。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组合层按策略家族计权、跨组共振、综合趋势确认与风险否决生成重点候选。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写入最新策略 JSON、综合趋势快照、连续入选状态，并推送飞书。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3.2 盘中流程</w:t>
      </w:r>
    </w:p>
    <w:p>
      <w:pPr>
        <w:spacing w:after="186"/>
      </w:pPr>
      <w:r>
        <w:rPr>
          <w:rFonts w:ascii="Menlo" w:hAnsi="Menlo" w:cs="Menlo"/>
          <w:sz w:val="29"/>
          <w:sz-cs w:val="29"/>
          <w:spacing w:val="0"/>
          <w:color w:val="121826"/>
        </w:rPr>
        <w:t xml:space="preserve">--intraday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 不同步、不写入正式日 K。它读取上一交易日快照、真实持仓、自选股、策略池与模拟持仓，获取实时行情后检查硬止损、持仓亏损、预计放量下跌、突破、普通标的走强和 14:45 后尾盘确认。预警按“日期+股票+类型”去重。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4. 目录结构与模块职责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路径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职责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关键对象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main.py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命令行入口、模式分发、策略并发、结果组织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main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、</w:t>
      </w:r>
      <w:r>
        <w:rPr>
          <w:rFonts w:ascii="Menlo" w:hAnsi="Menlo" w:cs="Menlo"/>
          <w:sz w:val="25"/>
          <w:sz-cs w:val="25"/>
          <w:spacing w:val="0"/>
          <w:color w:val="121826"/>
        </w:rPr>
        <w:t xml:space="preserve">_run_strategies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sequoia_x/core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配置、阈值、日志、A 股交易规则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Settings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、</w:t>
      </w:r>
      <w:r>
        <w:rPr>
          <w:rFonts w:ascii="Menlo" w:hAnsi="Menlo" w:cs="Menlo"/>
          <w:sz w:val="25"/>
          <w:sz-cs w:val="25"/>
          <w:spacing w:val="0"/>
          <w:color w:val="121826"/>
        </w:rPr>
        <w:t xml:space="preserve">ThresholdConfig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sequoia_x/data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SQLite 初始化、行情/状态/财务同步、查询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DataEngine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sequoia_x/strategy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策略基类、具体策略、组合决策、连续入选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BaseStrategy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、</w:t>
      </w:r>
      <w:r>
        <w:rPr>
          <w:rFonts w:ascii="Menlo" w:hAnsi="Menlo" w:cs="Menlo"/>
          <w:sz w:val="25"/>
          <w:sz-cs w:val="25"/>
          <w:spacing w:val="0"/>
          <w:color w:val="121826"/>
        </w:rPr>
        <w:t xml:space="preserve">StrategyCombiner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sequoia_x/backtest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事件驱动回测、指标、归因、滚动验证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EventDrivenBacktester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sequoia_x/prediction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特征工程、集成分类、概率校准、多周期跟踪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EnsemblePredictor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sequoia_x/portfolio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自选/真实持仓维护、收益刷新、规则化建议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PortfolioManager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sequoia_x/monitor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实时行情、盘中预警、去重与观察池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IntradayMonitor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sequoia_x/simulation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统一资金池模拟交易、T+1、费用、风险控制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PaperTradingManager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sequoia_x/notify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飞书卡片构建、拆分、路由和发送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FeishuNotifier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tests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配置、数据、策略、回测、通知和模拟交易测试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74 项测试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5. 技术栈与工程设计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技术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用途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项目中的意义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Python ≥3.10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主语言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类型标注、dataclass、科学计算生态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pandas / NumPy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时间序列、滚动窗口、横截面排名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指标和因子向量化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SQLite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行情、财务、状态、预测和模拟交易持久化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单机、低运维、支持断点续传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baostock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历史/增量日线、基础信息、交易状态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免费数据入口；由进程锁保证单连接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AKShare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财务因子、行业成分、实时估值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补足基本面和行业信息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scikit-learn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逻辑回归、直方图梯度提升、指标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等权集成概率预测与时间外评估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Pydantic Settings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环境变量配置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校验必填 Webhook，支持策略级路由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pytest / hypothesis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自动化测试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覆盖核心规则与数据行为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Rich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终端表格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提高人工运行可读性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工程上的关键选择包括：策略基类统一接口；线程池只并发计算策略，baostock 会话全程串行；业务阈值外置到 INI；正式日 K 与盘中快照隔离；外部同步失败时保持本地研究能力；数据文件分层持久化。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6. 数据模型与数据源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6.1 核心 SQLite 表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表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用途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注意点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stock_daily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复权 OHLC、真实 raw_OHLC、成交量/额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技术指标用复权价；成交与涨跌停优先用真实价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stock_basic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代码、名称、上市/退市日期、板块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支持股票名解析及历史股票池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stock_status_daily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ST、停牌、买卖能力、涨跌停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回测可成交性的重要依据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financial_factors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ROE、增长、现金流、PE/PB、毛利率等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按公告日期生效以减少未来函数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api_usage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数据源每日请求计数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默认 baostock 软上限 48,000 次/日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6.2 运行文件</w:t>
      </w:r>
    </w:p>
    <w:p>
      <w:pPr>
        <w:ind w:left="720" w:first-line="-720"/>
        <w:spacing w:after="53"/>
      </w:pPr>
      <w:r>
        <w:rPr>
          <w:rFonts w:ascii="Menlo" w:hAnsi="Menlo" w:cs="Menlo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data/comprehensive_trend_latest.json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：正式日线综合趋势快照。</w:t>
      </w:r>
    </w:p>
    <w:p>
      <w:pPr>
        <w:ind w:left="720" w:first-line="-720"/>
        <w:spacing w:after="53"/>
      </w:pPr>
      <w:r>
        <w:rPr>
          <w:rFonts w:ascii="Menlo" w:hAnsi="Menlo" w:cs="Menlo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data/strategy_selection_latest.json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：各策略及组合层最新股票池。</w:t>
      </w:r>
    </w:p>
    <w:p>
      <w:pPr>
        <w:ind w:left="720" w:first-line="-720"/>
        <w:spacing w:after="53"/>
      </w:pPr>
      <w:r>
        <w:rPr>
          <w:rFonts w:ascii="Menlo" w:hAnsi="Menlo" w:cs="Menlo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data/combined_selection_streak.json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：组合候选连续入选次数。</w:t>
      </w:r>
    </w:p>
    <w:p>
      <w:pPr>
        <w:ind w:left="720" w:first-line="-720"/>
        <w:spacing w:after="53"/>
      </w:pPr>
      <w:r>
        <w:rPr>
          <w:rFonts w:ascii="Menlo" w:hAnsi="Menlo" w:cs="Menlo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data/portfolio.csv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：用户维护的自选与真实持仓记录。</w:t>
      </w:r>
    </w:p>
    <w:p>
      <w:pPr>
        <w:ind w:left="720" w:first-line="-720"/>
        <w:spacing w:after="53"/>
      </w:pPr>
      <w:r>
        <w:rPr>
          <w:rFonts w:ascii="Menlo" w:hAnsi="Menlo" w:cs="Menlo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data/paper_trading.db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：模拟账户、持仓、批次、成交和净值。</w:t>
      </w:r>
    </w:p>
    <w:p>
      <w:pPr>
        <w:ind w:left="720" w:first-line="-720"/>
        <w:spacing w:after="53"/>
      </w:pPr>
      <w:r>
        <w:rPr>
          <w:rFonts w:ascii="Menlo" w:hAnsi="Menlo" w:cs="Menlo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data/prediction_tracking.db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：1/3/5/7/10 日预测活动周期与评估。</w:t>
      </w:r>
    </w:p>
    <w:p>
      <w:pPr>
        <w:ind w:left="720" w:first-line="-720"/>
        <w:spacing w:after="53"/>
      </w:pPr>
      <w:r>
        <w:rPr>
          <w:rFonts w:ascii="Menlo" w:hAnsi="Menlo" w:cs="Menlo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data/stock_industry.csv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：行业归属、行业排名和量化龙头。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首次数据建设：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默认历史起点为 2015-01-01。完整回填会分别获取复权行情、真实价格和交易状态，请预留时间和请求配额；任务可中断后续传。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7. 策略体系与组合决策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策略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核心思想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角色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MaVolume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短长均线与放量突破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趋势动量候选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TurtleTrade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20 日前高突破、成交额、量比、追高/上影过滤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趋势动量候选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RpsBreakout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20/60/120 日相对强度共振与 120 日突破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趋势动量候选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HighTightFlag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强动量后高位窄幅整理，再次突破且量能恢复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形态整理候选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ComprehensiveTrend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趋势、量价、MACD/RSI/OBV、市场宽度、财务与风险综合评分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二次确认与正式买点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LowPriceMultiFactor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动量、低波动、趋势、流动性、质量、增长、估值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横截面排名；原策略前3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LimitUpShakeout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涨停后巨量分歧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风险标签，扣分，不作正向投票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UptrendLimitDown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上升趋势中放量跌停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风险标签，可直接否决开仓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PrivatePlacement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定增公告事件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中性上下文标签，不进入历史买入回测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7.1 组合评分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组合层先按策略家族去重计权：趋势动量、形态整理、反转机会、事件驱动、横截面因子。命中至少两个家族可获得跨组共振加分。低价因子按排名贡献 10/9/8/6/3 分；综合趋势分乘 0.5 后加入最终分数；涨停后巨量分歧扣 15 分；放量跌停或清仓信号可否决。最终重点候选要求风险通过并有明确趋势买点。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7.2 关键指标名词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MA：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移动平均线；项目常用 MA5/10/20/60/120。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RPS：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横截面相对强度百分位，90 表示处于全市场前 10%。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RSI：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相对强弱指标，用于动量与过热/超卖判断。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ATR：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平均真实波幅，用于波动归一化和止损距离。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OBV：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能量潮，用量价累积观察资金趋势。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市场宽度：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全市场站上 MA20 的股票比例。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行业中性：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降低结果被单一行业整体涨跌主导的程度。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8. 回测、预测、持仓与模拟交易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8.1 事件驱动回测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回测按交易日推进。信号日收盘后产生的信号最早在下一交易日开盘成交；使用当时可见的价格、状态和财务公告数据；模拟 A 股 100 股一手、T+1、涨跌停不可成交、滑点、佣金、最低佣金、卖出印花税、仓位和风险预算。输出净值、交易、参数、指标、窗口与策略/退出原因归因。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8.2 滚动样本外验证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训练窗口仅用于选择共振门槛和止损参数，测试窗口拼接形成样本外结果。标准建议为 252 日训练、63 日测试；当前调度因本地历史不足暂用 126/42。严禁在同一回测区间反复调参后仍把该区间称为样本外。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8.3 概率预测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模型使用逻辑回归与 HistGradientBoostingClassifier 等权集成。特征覆盖收益、波动率、均线偏离、RSI、ATR、量比、成交额、突破/回撤、K 线形态、横截面排名和市场状态。训练、校准、验证严格按时间分割，报告 AUC、准确率、平衡准确率、基准准确率、Brier 分数和高置信覆盖率。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8.4 模拟交易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默认本金 100,000 元；首次建仓约 5%，加仓约 3%，最多加仓一次。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单股不超过 10%，总仓位不超过 80%，最多 10 股，单日最多 3 个新仓。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单笔风险预算 0.8%，组合热度上限 6%；还受市场强弱、策略组和行业集中度约束。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A/B 级候选可自动买入，C 级默认禁止；T+1 按买入批次精确执行。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移动止盈、MA20 减仓、MA60 清仓、15 日时间止损和初始止损共同管理退出。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9. 安装配置与命令使用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9.1 环境安装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cd /path/to/Sequoia-X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uv sync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cp .env.example .env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编辑 .env，至少配置 FEISHU_WEBHOOK_URL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若不用 uv，可使用 </w:t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pip install .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。推荐使用项目虚拟环境中的 Python。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9.2 关键环境变量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变量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默认/要求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说明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FEISHU_WEBHOOK_URL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必填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默认飞书机器人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STRATEGY_WEBHOOK_*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可选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如 CORE_DECISION、PORTFOLIO_MANAGEMENT、INTRADAY_TRADING、SYSTEM_OPERATIONS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DB_PATH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data/sequoia_v2.db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主行情数据库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START_DATE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2015-01-01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历史回填起点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BAOSTOCK_DAILY_REQUEST_LIMIT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48000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本地软限流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STRATEGY_MAX_WORKERS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4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策略计算线程数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PAPER_INITIAL_CAPITAL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100000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模拟本金</w:t>
      </w:r>
    </w:p>
    <w:p>
      <w:pPr/>
      <w:r>
        <w:rPr>
          <w:rFonts w:ascii="Menlo" w:hAnsi="Menlo" w:cs="Menlo"/>
          <w:sz w:val="25"/>
          <w:sz-cs w:val="25"/>
          <w:spacing w:val="0"/>
          <w:color w:val="121826"/>
        </w:rPr>
        <w:t xml:space="preserve">THRESHOLDS_CONFIG_PATH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config/thresholds.ini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业务阈值文件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9.3 初始化与日常命令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首次或续传历史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.venv/bin/python main.py --backfill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强制从 START_DATE 全量补齐真实价格与状态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.venv/bin/python main.py --backfill --full-history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日常盘后：增量同步 + 全策略 + 组合 + 推送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.venv/bin/python main.py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财务与行业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.venv/bin/python main.py --sync-financials 20260331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.venv/bin/python main.py --sync-industries --industry-leaders 3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概率预测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.venv/bin/python main.py --predict 600519 000001 --horizon 5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盘中监控与模拟交易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.venv/bin/python main.py --intraday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9.4 自选与真实持仓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覆盖自选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.venv/bin/python main.py --portfolio --set-watchlist 000425 600172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新增/更新：代码:股数:成本[:买入均价]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.venv/bin/python main.py --portfolio --set-position 000783:6000:9.659:9.522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记录卖出：代码或中文名:股数:价格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.venv/bin/python main.py --portfolio --sell-position 000783:6000:10.20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清仓但保留自选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.venv/bin/python main.py --portfolio --remove-position 000783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9.5 回测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单次事件驱动回测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.venv/bin/python main.py --backtest 2022-01-01 latest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252/63 滚动验证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.venv/bin/python main.py --backtest 2020-01-01 latest --walk-forward \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--train-days 252 --test-days 63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限定股票和输出路径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.venv/bin/python main.py --backtest 2022-01-01 2025-12-31 \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--backtest-symbols 000001 600519 --backtest-output data/backtest/custom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10. 定时调度、日志与故障处理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10.1 调度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chmod +x schedule_strategy.sh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./schedule_strategy.sh install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./schedule_strategy.sh list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./schedule_strategy.sh run daily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./schedule_strategy.sh run intraday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./schedule_strategy.sh remove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默认时区 Asia/Shanghai：工作日 09:40、10:30、11:20、13:30、14:30、14:50 盘中监控；19:15 日常策略；20:30 日回测；周六 09:00 滚动验证。日志按任务和日期保存，最多保留 10 份。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10.2 常见故障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现象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排查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处理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配置校验失败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检查 </w:t>
      </w:r>
      <w:r>
        <w:rPr>
          <w:rFonts w:ascii="Menlo" w:hAnsi="Menlo" w:cs="Menlo"/>
          <w:sz w:val="25"/>
          <w:sz-cs w:val="25"/>
          <w:spacing w:val="0"/>
          <w:color w:val="121826"/>
        </w:rPr>
        <w:t xml:space="preserve">.env</w:t>
      </w:r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 是否有 FEISHU_WEBHOOK_URL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补齐 URL；确认变量名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baostock 登录/同步失败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查系统告警和本地最新日期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允许本地降级；稍后续传；检查配额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预测提示历史不足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有效日期少于阈值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完整回填；确保足够横截面与连续历史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回测无成交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股票池、状态、阈值、时间区间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先检查信号数量和数据覆盖，不要盲目放宽参数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飞书发送失败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Webhook 权限、长度、网络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检查专属路由；系统会按长度拆卡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cron 未执行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Python 路径、脚本权限、日志目录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设置 SEQUOIA_PYTHON；手动 run 验证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11. 测试、验证与质量现状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测试覆盖配置、日志、数据引擎、baostock 串行网关、市场规则、财务因子、行业同步、各主要策略、组合器、综合趋势、回测、预测、预测跟踪、持仓、飞书、盘中监控和模拟交易。本次执行结果：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74 passed in 4.87s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。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测试通过说明代码行为与现有测试预期一致，不等于策略具有经济有效性。技术正确性、数据正确性、统计有效性和实盘可执行性是四个不同层次。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12. 风险、限制与改进路线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12.1 当前主要风险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策略有效性：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当前一年审计显著跑输基准，样本长度不足。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过拟合：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阈值众多，若在同一区间迭代会产生数据窥探。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幸存者偏差：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必须补齐退市股票、历史 ST 和可交易状态。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数据源风险：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免费接口的字段、频率和可用性不承诺稳定。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执行偏差：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开盘跳空、封板、冲击成本和真实成交队列可能比模型更差。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通知不等于交易：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飞书卡片可能延迟或漏发，不能作为唯一控制链路。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12.2 建议路线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完成 2015 年至今全市场真实价、状态、上市/退市历史回填，并做覆盖率报告。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建立数据质量闸门：重复、缺口、异常复权、零成交、状态矛盾。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对 A/B/C 买点、市场状态、行业、市值分层做独立样本外归因。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将策略参数选择限制在训练窗口，保留不可触碰的最终检验集。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降低换手，分析费用敏感性和开盘冲击成本；比较次日 VWAP 等执行假设。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在样本外收益、回撤、稳定性和纸面交易达到预设门槛前，保持 C 级禁买并禁止实盘自动化。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13. 附录：速查清单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每日操作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确认主库最新交易日和同步告警。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盘后运行 </w:t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main.py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，检查策略快照与组合重点候选。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查看真实持仓建议，但由人工决定是否交易。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盘中按计划运行 </w:t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--intraday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，区分真实持仓预警与模拟成交。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查看日回测/周滚动验证，关注样本外而非单日收益。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变更阈值前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写出经济假设和预期影响。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记录原值、候选值、训练区间与唯一评价指标。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仅在训练区间选择参数；测试区间只评估一次。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同步更新测试、变更日志和基准报告。</w:t>
      </w:r>
    </w:p>
    <w:p>
      <w:pPr>
        <w:spacing w:after="186"/>
      </w:pPr>
      <w:r>
        <w:rPr>
          <w:rFonts w:ascii="PingFang SC" w:hAnsi="PingFang SC" w:cs="PingFang SC"/>
          <w:sz w:val="24"/>
          <w:sz-cs w:val="24"/>
          <w:spacing w:val="0"/>
          <w:color w:val="495465"/>
        </w:rPr>
        <w:t xml:space="preserve">来源：Sequoia-X 仓库源码、README、config/thresholds.ini、CURRENT_STRATEGY_REVIEW.md、data/backtest/current_rules。本文档不构成证券投资建议。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