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Toc364695007"/>
    </w:p>
    <w:p/>
    <w:p/>
    <w:p/>
    <w:p/>
    <w:p/>
    <w:p/>
    <w:p/>
    <w:p/>
    <w:p/>
    <w:p/>
    <w:p>
      <w:pPr>
        <w:rPr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村镇银行柜面业务系统操作手册</w:t>
      </w:r>
    </w:p>
    <w:p/>
    <w:p/>
    <w:p/>
    <w:p/>
    <w:p/>
    <w:p/>
    <w:p/>
    <w:p/>
    <w:p/>
    <w:p/>
    <w:p/>
    <w:p/>
    <w:p>
      <w:pPr>
        <w:jc w:val="center"/>
      </w:pPr>
    </w:p>
    <w:p/>
    <w:p/>
    <w:p/>
    <w:p/>
    <w:p/>
    <w:p/>
    <w:p/>
    <w:p/>
    <w:p/>
    <w:p/>
    <w:p/>
    <w:p/>
    <w:p>
      <w:pPr>
        <w:jc w:val="center"/>
      </w:pPr>
      <w:r>
        <w:pict>
          <v:shape id="_x0000_i1025" o:spt="75" alt="gonsi" type="#_x0000_t75" style="height:29.4pt;width:233.3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>
      <w:pPr>
        <w:jc w:val="center"/>
      </w:pPr>
    </w:p>
    <w:p>
      <w:pPr>
        <w:jc w:val="center"/>
        <w:rPr>
          <w:rFonts w:ascii="宋体"/>
          <w:sz w:val="32"/>
          <w:szCs w:val="32"/>
        </w:rPr>
      </w:pPr>
      <w:r>
        <w:rPr>
          <w:b/>
        </w:rPr>
        <w:t>20</w:t>
      </w:r>
      <w:r>
        <w:rPr>
          <w:rFonts w:hint="eastAsia"/>
          <w:b/>
          <w:lang w:val="en-US" w:eastAsia="zh-CN"/>
        </w:rPr>
        <w:t>20</w:t>
      </w:r>
      <w:r>
        <w:rPr>
          <w:rFonts w:hint="eastAsia"/>
          <w:b/>
        </w:rPr>
        <w:t>年</w:t>
      </w:r>
      <w:r>
        <w:rPr>
          <w:b/>
        </w:rPr>
        <w:t>1</w:t>
      </w:r>
      <w:r>
        <w:rPr>
          <w:rFonts w:hint="eastAsia"/>
          <w:b/>
          <w:lang w:val="en-US" w:eastAsia="zh-CN"/>
        </w:rPr>
        <w:t>2</w:t>
      </w:r>
      <w:r>
        <w:rPr>
          <w:rFonts w:hint="eastAsia"/>
          <w:b/>
        </w:rPr>
        <w:t>月</w:t>
      </w:r>
      <w:r>
        <w:rPr>
          <w:rFonts w:hint="eastAsia"/>
          <w:b/>
          <w:lang w:val="en-US" w:eastAsia="zh-CN"/>
        </w:rPr>
        <w:t>22</w:t>
      </w:r>
      <w:r>
        <w:rPr>
          <w:rFonts w:hint="eastAsia"/>
          <w:b/>
        </w:rPr>
        <w:t>日</w:t>
      </w:r>
      <w:bookmarkStart w:id="11" w:name="_GoBack"/>
      <w:bookmarkEnd w:id="11"/>
    </w:p>
    <w:p>
      <w:pPr>
        <w:pStyle w:val="2"/>
        <w:numPr>
          <w:ilvl w:val="0"/>
          <w:numId w:val="0"/>
        </w:numPr>
        <w:spacing w:line="240" w:lineRule="auto"/>
        <w:ind w:left="643"/>
        <w:jc w:val="center"/>
        <w:rPr>
          <w:rFonts w:asci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中间业务</w:t>
      </w:r>
      <w:bookmarkEnd w:id="0"/>
    </w:p>
    <w:p>
      <w:pPr>
        <w:pStyle w:val="3"/>
        <w:numPr>
          <w:ilvl w:val="1"/>
          <w:numId w:val="2"/>
        </w:numPr>
        <w:tabs>
          <w:tab w:val="left" w:pos="567"/>
        </w:tabs>
        <w:spacing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代缴白山水费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代缴水费</w:t>
      </w:r>
    </w:p>
    <w:p>
      <w:pPr>
        <w:pStyle w:val="5"/>
      </w:pPr>
      <w:r>
        <w:rPr>
          <w:rFonts w:hint="eastAsia"/>
        </w:rPr>
        <w:t>基本信息</w:t>
      </w:r>
    </w:p>
    <w:tbl>
      <w:tblPr>
        <w:tblStyle w:val="14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交易名称</w:t>
            </w:r>
          </w:p>
        </w:tc>
        <w:tc>
          <w:tcPr>
            <w:tcW w:w="66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代缴水费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交易代码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850304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kern w:val="0"/>
              </w:rPr>
              <w:t>本交易为特色交易，仅为白山恒泰村镇银行代缴水费使用。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所有营业网点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中间业务账务处理角色柜员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交易金额大于等于5万时，05级授权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bottom w:val="single" w:color="auto" w:sz="12" w:space="0"/>
            </w:tcBorders>
            <w:vAlign w:val="center"/>
          </w:tcPr>
          <w:p>
            <w:pPr>
              <w:pStyle w:val="26"/>
              <w:spacing w:line="240" w:lineRule="auto"/>
              <w:ind w:left="0" w:leftChars="0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代收水费凭证、通用凭证、个人储蓄凭证（转账缴费）</w:t>
            </w:r>
          </w:p>
        </w:tc>
      </w:tr>
    </w:tbl>
    <w:p/>
    <w:p>
      <w:pPr>
        <w:pStyle w:val="5"/>
      </w:pPr>
      <w:bookmarkStart w:id="1" w:name="_Toc364695010"/>
      <w:r>
        <w:rPr>
          <w:rFonts w:hint="eastAsia"/>
        </w:rPr>
        <w:t>操作界面及栏位说明</w:t>
      </w:r>
      <w:bookmarkEnd w:id="1"/>
    </w:p>
    <w:p>
      <w:pPr>
        <w:rPr>
          <w:rFonts w:ascii="宋体"/>
          <w:b/>
          <w:kern w:val="0"/>
        </w:rPr>
      </w:pPr>
      <w:r>
        <w:rPr>
          <w:rFonts w:hint="eastAsia" w:ascii="宋体" w:hAnsi="宋体"/>
          <w:b/>
          <w:kern w:val="0"/>
        </w:rPr>
        <w:t>操作界面：</w:t>
      </w:r>
    </w:p>
    <w:p>
      <w:pPr>
        <w:rPr>
          <w:rFonts w:ascii="宋体"/>
          <w:b/>
          <w:kern w:val="0"/>
        </w:rPr>
      </w:pPr>
      <w:r>
        <w:rPr>
          <w:rFonts w:ascii="宋体"/>
          <w:b/>
          <w:kern w:val="0"/>
        </w:rPr>
        <w:pict>
          <v:shape id="_x0000_i1026" o:spt="75" type="#_x0000_t75" style="height:302.4pt;width:410.1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rPr>
          <w:rFonts w:ascii="宋体"/>
          <w:b/>
          <w:kern w:val="0"/>
        </w:rPr>
      </w:pPr>
      <w:r>
        <w:rPr>
          <w:rFonts w:hint="eastAsia" w:ascii="宋体" w:hAnsi="宋体"/>
          <w:b/>
          <w:kern w:val="0"/>
        </w:rPr>
        <w:t>栏位说明：</w:t>
      </w:r>
    </w:p>
    <w:tbl>
      <w:tblPr>
        <w:tblStyle w:val="14"/>
        <w:tblW w:w="8775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559"/>
        <w:gridCol w:w="1276"/>
        <w:gridCol w:w="1134"/>
        <w:gridCol w:w="1134"/>
        <w:gridCol w:w="851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559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5" w:type="dxa"/>
            <w:tcBorders>
              <w:top w:val="single" w:color="auto" w:sz="12" w:space="0"/>
            </w:tcBorders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tcBorders>
              <w:top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用户户号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1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126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必输项，输入客户的水费账号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当前余额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系统自动反显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</w:rPr>
              <w:t>用户户名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系统自动反显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</w:rPr>
              <w:t>欠费年月时段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如客户存在欠费年月时段，系统自动反显，格式为</w:t>
            </w:r>
            <w:r>
              <w:rPr>
                <w:rFonts w:ascii="宋体" w:hAnsi="宋体"/>
                <w:snapToGrid w:val="0"/>
                <w:kern w:val="0"/>
              </w:rPr>
              <w:t>YYYY-MM</w:t>
            </w:r>
            <w:r>
              <w:rPr>
                <w:rFonts w:ascii="宋体"/>
                <w:snapToGrid w:val="0"/>
                <w:kern w:val="0"/>
              </w:rPr>
              <w:t>,</w:t>
            </w:r>
            <w:r>
              <w:rPr>
                <w:rFonts w:hint="eastAsia" w:ascii="宋体" w:hAnsi="宋体"/>
                <w:snapToGrid w:val="0"/>
                <w:kern w:val="0"/>
              </w:rPr>
              <w:t>如不欠费，反显为空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  <w:spacing w:val="16"/>
              </w:rPr>
            </w:pPr>
            <w:r>
              <w:rPr>
                <w:rFonts w:hint="eastAsia" w:ascii="宋体" w:hAnsi="宋体"/>
              </w:rPr>
              <w:t>地址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系统自动反显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应缴金额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  <w:snapToGrid w:val="0"/>
                <w:spacing w:val="14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系统自动反显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客户代码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  <w:snapToGrid w:val="0"/>
                <w:spacing w:val="14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系统自动反显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实缴金额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vAlign w:val="center"/>
          </w:tcPr>
          <w:p>
            <w:pPr>
              <w:rPr>
                <w:rFonts w:ascii="宋体"/>
                <w:snapToGrid w:val="0"/>
                <w:spacing w:val="14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输入缴费金额，若存在应缴金额，则输入金额要大于等于应缴金额，否则报错。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tcBorders>
              <w:bottom w:val="single" w:color="auto" w:sz="12" w:space="0"/>
            </w:tcBorders>
            <w:vAlign w:val="center"/>
          </w:tcPr>
          <w:p>
            <w:pPr>
              <w:numPr>
                <w:ilvl w:val="0"/>
                <w:numId w:val="3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559" w:type="dxa"/>
            <w:tcBorders>
              <w:bottom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缴费方式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1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126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spacing w:val="14"/>
              </w:rPr>
            </w:pPr>
            <w:r>
              <w:rPr>
                <w:rFonts w:ascii="宋体" w:hAnsi="宋体"/>
                <w:snapToGrid w:val="0"/>
                <w:spacing w:val="14"/>
              </w:rPr>
              <w:t>1-</w:t>
            </w:r>
            <w:r>
              <w:rPr>
                <w:rFonts w:hint="eastAsia" w:ascii="宋体" w:hAnsi="宋体"/>
                <w:snapToGrid w:val="0"/>
                <w:spacing w:val="14"/>
              </w:rPr>
              <w:t>现金；</w:t>
            </w:r>
            <w:r>
              <w:rPr>
                <w:rFonts w:ascii="宋体" w:hAnsi="宋体"/>
                <w:snapToGrid w:val="0"/>
                <w:spacing w:val="14"/>
              </w:rPr>
              <w:t>2-</w:t>
            </w:r>
            <w:r>
              <w:rPr>
                <w:rFonts w:hint="eastAsia" w:ascii="宋体" w:hAnsi="宋体"/>
                <w:snapToGrid w:val="0"/>
                <w:spacing w:val="14"/>
              </w:rPr>
              <w:t>转账</w:t>
            </w:r>
          </w:p>
        </w:tc>
      </w:tr>
    </w:tbl>
    <w:p>
      <w:pPr>
        <w:pStyle w:val="5"/>
        <w:rPr>
          <w:rFonts w:ascii="宋体"/>
          <w:szCs w:val="21"/>
        </w:rPr>
      </w:pPr>
      <w:bookmarkStart w:id="2" w:name="_Toc354817251"/>
      <w:bookmarkStart w:id="3" w:name="_Toc364695011"/>
      <w:r>
        <w:rPr>
          <w:rFonts w:hint="eastAsia"/>
        </w:rPr>
        <w:t>操作流程</w:t>
      </w:r>
      <w:bookmarkEnd w:id="2"/>
      <w:bookmarkEnd w:id="3"/>
    </w:p>
    <w:p>
      <w:pPr>
        <w:pStyle w:val="9"/>
        <w:numPr>
          <w:ilvl w:val="0"/>
          <w:numId w:val="4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柜员根据用户的水费缴费需求，启动该交易。</w:t>
      </w:r>
    </w:p>
    <w:p>
      <w:pPr>
        <w:pStyle w:val="9"/>
        <w:numPr>
          <w:ilvl w:val="0"/>
          <w:numId w:val="4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缴费用户需提供水费用户户号，柜员输入用户户号后，系统会自动反显该用户的水费相关信息，包括“当前余额”、“用户户名”、“欠费年月时段”、“地址”、“应缴金额”和“用户代码”。</w:t>
      </w:r>
    </w:p>
    <w:p>
      <w:pPr>
        <w:pStyle w:val="9"/>
        <w:numPr>
          <w:ilvl w:val="0"/>
          <w:numId w:val="4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柜员根据客户要求输入缴费金额，如存在欠费，即“应缴金额”字段值不为</w:t>
      </w:r>
      <w:r>
        <w:rPr>
          <w:rFonts w:ascii="宋体"/>
          <w:sz w:val="21"/>
          <w:szCs w:val="21"/>
        </w:rPr>
        <w:t>0</w:t>
      </w:r>
      <w:r>
        <w:rPr>
          <w:rFonts w:hint="eastAsia" w:ascii="宋体" w:hAnsi="宋体"/>
          <w:sz w:val="21"/>
          <w:szCs w:val="21"/>
        </w:rPr>
        <w:t>，则缴费金额要大于等于欠费金额，否则系统报错；如不存在欠费，即“应缴金额”字段值为</w:t>
      </w:r>
      <w:r>
        <w:rPr>
          <w:rFonts w:ascii="宋体"/>
          <w:sz w:val="21"/>
          <w:szCs w:val="21"/>
        </w:rPr>
        <w:t>0</w:t>
      </w:r>
      <w:r>
        <w:rPr>
          <w:rFonts w:hint="eastAsia" w:ascii="宋体" w:hAnsi="宋体"/>
          <w:sz w:val="21"/>
          <w:szCs w:val="21"/>
        </w:rPr>
        <w:t>，缴费金额大于</w:t>
      </w:r>
      <w:r>
        <w:rPr>
          <w:rFonts w:ascii="宋体"/>
          <w:sz w:val="21"/>
          <w:szCs w:val="21"/>
        </w:rPr>
        <w:t>0</w:t>
      </w:r>
      <w:r>
        <w:rPr>
          <w:rFonts w:hint="eastAsia" w:ascii="宋体" w:hAnsi="宋体"/>
          <w:sz w:val="21"/>
          <w:szCs w:val="21"/>
        </w:rPr>
        <w:t>即可。缴费成功后，柜员再次进入该交易，输入用户户号后，系统自动反显最新账户余额。</w:t>
      </w:r>
    </w:p>
    <w:p>
      <w:pPr>
        <w:pStyle w:val="9"/>
        <w:numPr>
          <w:ilvl w:val="0"/>
          <w:numId w:val="4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缴费方式可以选择“现金”或“转账”，缴费金额大于</w:t>
      </w:r>
      <w:r>
        <w:rPr>
          <w:rFonts w:ascii="宋体" w:hAnsi="宋体"/>
          <w:sz w:val="21"/>
          <w:szCs w:val="21"/>
        </w:rPr>
        <w:t>5</w:t>
      </w:r>
      <w:r>
        <w:rPr>
          <w:rFonts w:hint="eastAsia" w:ascii="宋体" w:hAnsi="宋体"/>
          <w:sz w:val="21"/>
          <w:szCs w:val="21"/>
        </w:rPr>
        <w:t>万</w:t>
      </w:r>
      <w:r>
        <w:rPr>
          <w:rFonts w:ascii="宋体" w:hAnsi="宋体"/>
          <w:sz w:val="21"/>
          <w:szCs w:val="21"/>
        </w:rPr>
        <w:t>(</w:t>
      </w:r>
      <w:r>
        <w:rPr>
          <w:rFonts w:hint="eastAsia" w:ascii="宋体" w:hAnsi="宋体"/>
          <w:sz w:val="21"/>
          <w:szCs w:val="21"/>
        </w:rPr>
        <w:t>含</w:t>
      </w:r>
      <w:r>
        <w:rPr>
          <w:rFonts w:ascii="宋体" w:hAnsi="宋体"/>
          <w:sz w:val="21"/>
          <w:szCs w:val="21"/>
        </w:rPr>
        <w:t>)</w:t>
      </w:r>
      <w:r>
        <w:rPr>
          <w:rFonts w:hint="eastAsia" w:ascii="宋体" w:hAnsi="宋体"/>
          <w:sz w:val="21"/>
          <w:szCs w:val="21"/>
        </w:rPr>
        <w:t>需要</w:t>
      </w:r>
      <w:r>
        <w:rPr>
          <w:rFonts w:ascii="宋体" w:hAnsi="宋体"/>
          <w:sz w:val="21"/>
          <w:szCs w:val="21"/>
        </w:rPr>
        <w:t>05</w:t>
      </w:r>
      <w:r>
        <w:rPr>
          <w:rFonts w:hint="eastAsia" w:ascii="宋体" w:hAnsi="宋体"/>
          <w:sz w:val="21"/>
          <w:szCs w:val="21"/>
        </w:rPr>
        <w:t>级主管授权。选择转账缴费时，转账账号可以为银行卡、结算折，不支持内部账户和对公账户，转账账户不校验是否为用户本人账户。</w:t>
      </w:r>
    </w:p>
    <w:p>
      <w:pPr>
        <w:pStyle w:val="5"/>
      </w:pPr>
      <w:bookmarkStart w:id="4" w:name="_Toc364695012"/>
      <w:bookmarkStart w:id="5" w:name="_Toc354817252"/>
      <w:r>
        <w:rPr>
          <w:rFonts w:hint="eastAsia"/>
        </w:rPr>
        <w:t>注意事项</w:t>
      </w:r>
      <w:bookmarkEnd w:id="4"/>
      <w:bookmarkEnd w:id="5"/>
    </w:p>
    <w:p>
      <w:pPr>
        <w:pStyle w:val="9"/>
        <w:numPr>
          <w:ilvl w:val="0"/>
          <w:numId w:val="5"/>
        </w:numPr>
        <w:spacing w:after="0" w:line="240" w:lineRule="auto"/>
        <w:rPr>
          <w:rFonts w:ascii="宋体"/>
          <w:sz w:val="21"/>
          <w:szCs w:val="21"/>
        </w:rPr>
      </w:pPr>
      <w:bookmarkStart w:id="6" w:name="_Toc364695013"/>
      <w:r>
        <w:rPr>
          <w:rFonts w:hint="eastAsia" w:ascii="宋体" w:hAnsi="宋体"/>
          <w:sz w:val="21"/>
          <w:szCs w:val="21"/>
        </w:rPr>
        <w:t>代缴水费业务为白山恒泰村镇银行的特色中间业务，目前针对其他法人行，该业务菜单隐藏，不可见。</w:t>
      </w:r>
    </w:p>
    <w:p>
      <w:pPr>
        <w:pStyle w:val="9"/>
        <w:numPr>
          <w:ilvl w:val="0"/>
          <w:numId w:val="5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水务集团需在我行先开立对公一般账户，并将账户提供给科技中心，配置成功后，才可以给客户代缴水费，客户代缴水费的过程，相当于直接往水务集团的一般户汇款。</w:t>
      </w:r>
    </w:p>
    <w:p>
      <w:pPr>
        <w:pStyle w:val="9"/>
        <w:numPr>
          <w:ilvl w:val="0"/>
          <w:numId w:val="5"/>
        </w:numPr>
        <w:spacing w:after="0" w:line="240" w:lineRule="auto"/>
        <w:rPr>
          <w:rFonts w:hint="eastAsia"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代缴水费用户为水务集团的用户，只要有水费用户户号即可在我行缴费，非我行客户也可以缴费。</w:t>
      </w:r>
    </w:p>
    <w:p>
      <w:pPr>
        <w:pStyle w:val="9"/>
        <w:numPr>
          <w:ilvl w:val="0"/>
          <w:numId w:val="5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当输入的实缴金额小于应缴金额，回车后系统报错“缴费金额小于应缴金额”，柜员轧账打印流水时没有缴费失败的流水记录。</w:t>
      </w:r>
    </w:p>
    <w:p>
      <w:pPr>
        <w:pStyle w:val="5"/>
      </w:pPr>
      <w:r>
        <w:rPr>
          <w:rFonts w:hint="eastAsia"/>
        </w:rPr>
        <w:t>账务处理</w:t>
      </w:r>
    </w:p>
    <w:p>
      <w:pPr>
        <w:ind w:firstLine="420" w:firstLineChars="200"/>
        <w:rPr>
          <w:rFonts w:ascii="宋体"/>
        </w:rPr>
      </w:pPr>
      <w:r>
        <w:rPr>
          <w:rFonts w:ascii="宋体" w:hAnsi="宋体"/>
        </w:rPr>
        <w:t>1.</w:t>
      </w:r>
      <w:r>
        <w:rPr>
          <w:rFonts w:hint="eastAsia" w:ascii="宋体" w:hAnsi="宋体"/>
        </w:rPr>
        <w:t>现金缴费</w:t>
      </w:r>
    </w:p>
    <w:p>
      <w:pPr>
        <w:ind w:firstLine="420" w:firstLineChars="200"/>
        <w:rPr>
          <w:rFonts w:ascii="宋体"/>
        </w:rPr>
      </w:pPr>
      <w:r>
        <w:rPr>
          <w:rFonts w:hint="eastAsia" w:ascii="宋体" w:hAnsi="宋体"/>
        </w:rPr>
        <w:t>借：</w:t>
      </w:r>
      <w:r>
        <w:rPr>
          <w:rFonts w:ascii="宋体" w:hAnsi="宋体"/>
        </w:rPr>
        <w:t>10110010</w:t>
      </w:r>
      <w:r>
        <w:rPr>
          <w:rFonts w:hint="eastAsia" w:ascii="宋体" w:hAnsi="宋体"/>
        </w:rPr>
        <w:t>　　库存现金</w:t>
      </w:r>
    </w:p>
    <w:p>
      <w:pPr>
        <w:ind w:firstLine="630" w:firstLineChars="300"/>
        <w:rPr>
          <w:rFonts w:ascii="宋体"/>
        </w:rPr>
      </w:pPr>
      <w:r>
        <w:rPr>
          <w:rFonts w:hint="eastAsia" w:ascii="宋体" w:hAnsi="宋体"/>
        </w:rPr>
        <w:t>贷：</w:t>
      </w:r>
      <w:r>
        <w:rPr>
          <w:rFonts w:ascii="宋体" w:hAnsi="宋体"/>
        </w:rPr>
        <w:t>2011</w:t>
      </w:r>
      <w:r>
        <w:rPr>
          <w:rFonts w:hint="eastAsia" w:ascii="宋体" w:hAnsi="宋体"/>
        </w:rPr>
        <w:t>　　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活期存款（水务集团的对公账户）</w:t>
      </w:r>
    </w:p>
    <w:p>
      <w:pPr>
        <w:ind w:firstLine="420" w:firstLineChars="200"/>
        <w:rPr>
          <w:rFonts w:ascii="宋体"/>
        </w:rPr>
      </w:pPr>
      <w:r>
        <w:rPr>
          <w:rFonts w:ascii="宋体" w:hAnsi="宋体"/>
        </w:rPr>
        <w:t>2.</w:t>
      </w:r>
      <w:r>
        <w:rPr>
          <w:rFonts w:hint="eastAsia" w:ascii="宋体" w:hAnsi="宋体"/>
        </w:rPr>
        <w:t>转账缴费</w:t>
      </w:r>
    </w:p>
    <w:p>
      <w:pPr>
        <w:ind w:firstLine="420" w:firstLineChars="200"/>
        <w:rPr>
          <w:rFonts w:ascii="宋体"/>
        </w:rPr>
      </w:pPr>
      <w:r>
        <w:rPr>
          <w:rFonts w:hint="eastAsia" w:ascii="宋体" w:hAnsi="宋体"/>
        </w:rPr>
        <w:t>借：</w:t>
      </w:r>
      <w:r>
        <w:rPr>
          <w:rFonts w:ascii="宋体" w:hAnsi="宋体"/>
        </w:rPr>
        <w:t>2111</w:t>
      </w:r>
      <w:r>
        <w:rPr>
          <w:rFonts w:hint="eastAsia" w:ascii="宋体" w:hAnsi="宋体"/>
        </w:rPr>
        <w:t>　　活期储蓄存款</w:t>
      </w:r>
    </w:p>
    <w:p>
      <w:pPr>
        <w:ind w:firstLine="630" w:firstLineChars="300"/>
        <w:rPr>
          <w:rFonts w:ascii="宋体"/>
        </w:rPr>
      </w:pPr>
      <w:r>
        <w:rPr>
          <w:rFonts w:hint="eastAsia" w:ascii="宋体" w:hAnsi="宋体"/>
        </w:rPr>
        <w:t>贷：</w:t>
      </w:r>
      <w:r>
        <w:rPr>
          <w:rFonts w:ascii="宋体" w:hAnsi="宋体"/>
        </w:rPr>
        <w:t>2011</w:t>
      </w:r>
      <w:r>
        <w:rPr>
          <w:rFonts w:hint="eastAsia" w:ascii="宋体" w:hAnsi="宋体"/>
        </w:rPr>
        <w:t>　　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活期存款（水务集团的对公账户）</w:t>
      </w:r>
    </w:p>
    <w:p>
      <w:pPr>
        <w:pStyle w:val="9"/>
        <w:spacing w:after="0" w:line="240" w:lineRule="auto"/>
        <w:rPr>
          <w:rFonts w:ascii="宋体"/>
          <w:sz w:val="21"/>
          <w:szCs w:val="21"/>
        </w:rPr>
      </w:pPr>
    </w:p>
    <w:bookmarkEnd w:id="6"/>
    <w:p>
      <w:pPr>
        <w:pStyle w:val="3"/>
        <w:numPr>
          <w:ilvl w:val="1"/>
          <w:numId w:val="2"/>
        </w:numPr>
        <w:tabs>
          <w:tab w:val="left" w:pos="567"/>
        </w:tabs>
        <w:spacing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缴费明细查询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bookmarkStart w:id="7" w:name="_Toc364695014"/>
      <w:r>
        <w:rPr>
          <w:rFonts w:hint="eastAsia" w:ascii="宋体" w:hAnsi="宋体"/>
          <w:sz w:val="21"/>
          <w:szCs w:val="21"/>
        </w:rPr>
        <w:t>基本信息</w:t>
      </w:r>
      <w:bookmarkEnd w:id="7"/>
    </w:p>
    <w:tbl>
      <w:tblPr>
        <w:tblStyle w:val="14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交易名称</w:t>
            </w:r>
          </w:p>
        </w:tc>
        <w:tc>
          <w:tcPr>
            <w:tcW w:w="66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缴费明细查询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交易代码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853041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  <w:color w:val="000000"/>
              </w:rPr>
            </w:pPr>
            <w:r>
              <w:rPr>
                <w:rFonts w:hint="eastAsia" w:ascii="宋体" w:hAnsi="宋体"/>
                <w:color w:val="000000"/>
                <w:kern w:val="0"/>
              </w:rPr>
              <w:t>本交易用于查询代缴水费明细。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核算中心和营业网点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中间业务账务处理角色柜员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bottom w:val="single" w:color="auto" w:sz="12" w:space="0"/>
            </w:tcBorders>
            <w:vAlign w:val="center"/>
          </w:tcPr>
          <w:p>
            <w:pPr>
              <w:pStyle w:val="26"/>
              <w:spacing w:line="240" w:lineRule="auto"/>
              <w:ind w:left="0" w:leftChars="0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无</w:t>
            </w:r>
          </w:p>
        </w:tc>
      </w:tr>
    </w:tbl>
    <w:p>
      <w:pPr>
        <w:rPr>
          <w:rFonts w:ascii="宋体"/>
          <w:b/>
          <w:kern w:val="0"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bookmarkStart w:id="8" w:name="_Toc364695015"/>
      <w:r>
        <w:rPr>
          <w:rFonts w:hint="eastAsia" w:ascii="宋体" w:hAnsi="宋体"/>
          <w:sz w:val="21"/>
          <w:szCs w:val="21"/>
        </w:rPr>
        <w:t>操作界面及栏位说明</w:t>
      </w:r>
      <w:bookmarkEnd w:id="8"/>
    </w:p>
    <w:p>
      <w:pPr>
        <w:rPr>
          <w:rFonts w:ascii="宋体"/>
          <w:b/>
          <w:kern w:val="0"/>
        </w:rPr>
      </w:pPr>
      <w:r>
        <w:rPr>
          <w:rFonts w:hint="eastAsia" w:ascii="宋体" w:hAnsi="宋体"/>
          <w:b/>
          <w:kern w:val="0"/>
        </w:rPr>
        <w:t>操作界面：</w:t>
      </w:r>
    </w:p>
    <w:p>
      <w:pPr>
        <w:rPr>
          <w:rFonts w:ascii="宋体"/>
          <w:b/>
          <w:kern w:val="0"/>
        </w:rPr>
      </w:pPr>
      <w:r>
        <w:rPr>
          <w:rFonts w:ascii="宋体"/>
          <w:b/>
          <w:kern w:val="0"/>
        </w:rPr>
        <w:pict>
          <v:shape id="_x0000_i1027" o:spt="75" type="#_x0000_t75" style="height:302.4pt;width:410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>
      <w:pPr>
        <w:rPr>
          <w:rFonts w:ascii="宋体"/>
          <w:b/>
          <w:kern w:val="0"/>
        </w:rPr>
      </w:pPr>
      <w:r>
        <w:rPr>
          <w:rFonts w:ascii="宋体"/>
          <w:b/>
          <w:kern w:val="0"/>
        </w:rPr>
        <w:pict>
          <v:shape id="_x0000_i1028" o:spt="75" type="#_x0000_t75" style="height:186.6pt;width:413.55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rPr>
          <w:rFonts w:ascii="宋体"/>
          <w:b/>
          <w:kern w:val="0"/>
        </w:rPr>
      </w:pPr>
      <w:r>
        <w:rPr>
          <w:rFonts w:ascii="宋体"/>
          <w:b/>
          <w:kern w:val="0"/>
        </w:rPr>
        <w:pict>
          <v:shape id="_x0000_i1029" o:spt="75" type="#_x0000_t75" style="height:186.6pt;width:413.55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rPr>
          <w:rFonts w:ascii="宋体"/>
          <w:b/>
          <w:kern w:val="0"/>
        </w:rPr>
      </w:pPr>
      <w:r>
        <w:rPr>
          <w:rFonts w:hint="eastAsia" w:ascii="宋体" w:hAnsi="宋体"/>
          <w:b/>
          <w:kern w:val="0"/>
        </w:rPr>
        <w:t>栏位说明：</w:t>
      </w:r>
    </w:p>
    <w:tbl>
      <w:tblPr>
        <w:tblStyle w:val="14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134"/>
        <w:gridCol w:w="1276"/>
        <w:gridCol w:w="1134"/>
        <w:gridCol w:w="1134"/>
        <w:gridCol w:w="850"/>
        <w:gridCol w:w="22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8491" w:type="dxa"/>
            <w:gridSpan w:val="7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5" w:type="dxa"/>
            <w:tcBorders>
              <w:top w:val="single" w:color="auto" w:sz="12" w:space="0"/>
            </w:tcBorders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用户户号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2268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非必输项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用户户名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非必输项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</w:rPr>
              <w:t>机构代码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本机构机构号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非必输项，可查询本机构及下辖网点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</w:rPr>
              <w:t>交易状态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非必输项，键值：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/>
                <w:snapToGrid w:val="0"/>
                <w:kern w:val="0"/>
              </w:rPr>
              <w:t>0-</w:t>
            </w:r>
            <w:r>
              <w:rPr>
                <w:rFonts w:hint="eastAsia" w:ascii="宋体" w:hAnsi="宋体"/>
                <w:snapToGrid w:val="0"/>
                <w:kern w:val="0"/>
              </w:rPr>
              <w:t>成功；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 w:hAnsi="宋体"/>
                <w:snapToGrid w:val="0"/>
                <w:kern w:val="0"/>
              </w:rPr>
              <w:t>1-</w:t>
            </w:r>
            <w:r>
              <w:rPr>
                <w:rFonts w:hint="eastAsia" w:ascii="宋体" w:hAnsi="宋体"/>
                <w:snapToGrid w:val="0"/>
                <w:kern w:val="0"/>
              </w:rPr>
              <w:t>失败；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 w:hAnsi="宋体"/>
                <w:snapToGrid w:val="0"/>
                <w:kern w:val="0"/>
              </w:rPr>
              <w:t xml:space="preserve">6- </w:t>
            </w:r>
            <w:r>
              <w:rPr>
                <w:rFonts w:hint="eastAsia" w:ascii="宋体" w:hAnsi="宋体"/>
                <w:snapToGrid w:val="0"/>
                <w:kern w:val="0"/>
              </w:rPr>
              <w:t>交易状态未知；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 w:hAnsi="宋体"/>
                <w:snapToGrid w:val="0"/>
                <w:kern w:val="0"/>
              </w:rPr>
              <w:t>7-</w:t>
            </w:r>
            <w:r>
              <w:rPr>
                <w:rFonts w:hint="eastAsia" w:ascii="宋体" w:hAnsi="宋体"/>
                <w:snapToGrid w:val="0"/>
                <w:kern w:val="0"/>
              </w:rPr>
              <w:t>交易被冲正；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 w:hAnsi="宋体"/>
                <w:snapToGrid w:val="0"/>
                <w:kern w:val="0"/>
              </w:rPr>
              <w:t>8-</w:t>
            </w:r>
            <w:r>
              <w:rPr>
                <w:rFonts w:hint="eastAsia" w:ascii="宋体" w:hAnsi="宋体"/>
                <w:snapToGrid w:val="0"/>
                <w:kern w:val="0"/>
              </w:rPr>
              <w:t>交易被撤销；</w:t>
            </w:r>
          </w:p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ascii="宋体" w:hAnsi="宋体"/>
                <w:snapToGrid w:val="0"/>
                <w:kern w:val="0"/>
              </w:rPr>
              <w:t>9-</w:t>
            </w:r>
            <w:r>
              <w:rPr>
                <w:rFonts w:hint="eastAsia" w:ascii="宋体" w:hAnsi="宋体"/>
                <w:snapToGrid w:val="0"/>
                <w:kern w:val="0"/>
              </w:rPr>
              <w:t>初始。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起始日期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6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截止日期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spacing w:val="14"/>
              </w:rPr>
            </w:pPr>
            <w:r>
              <w:rPr>
                <w:rFonts w:hint="eastAsia" w:ascii="宋体" w:hAnsi="宋体"/>
                <w:snapToGrid w:val="0"/>
                <w:spacing w:val="14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8491" w:type="dxa"/>
            <w:gridSpan w:val="7"/>
            <w:vAlign w:val="center"/>
          </w:tcPr>
          <w:p>
            <w:pPr>
              <w:jc w:val="center"/>
              <w:rPr>
                <w:rFonts w:ascii="宋体"/>
                <w:snapToGrid w:val="0"/>
                <w:spacing w:val="14"/>
              </w:rPr>
            </w:pPr>
            <w:r>
              <w:rPr>
                <w:rFonts w:hint="eastAsia" w:ascii="宋体" w:hAnsi="宋体" w:cs="宋体"/>
                <w:b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用户户号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用户户号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用户户名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用户户名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应缴金额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应缴金额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实缴金额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实缴金额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缴费方式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缴费方式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扣款账号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</w:t>
            </w:r>
            <w:r>
              <w:rPr>
                <w:rFonts w:hint="eastAsia" w:ascii="宋体" w:hAnsi="宋体"/>
              </w:rPr>
              <w:t>转账缴费的账号</w:t>
            </w:r>
            <w:r>
              <w:rPr>
                <w:rFonts w:hint="eastAsia" w:ascii="宋体" w:hAnsi="宋体"/>
                <w:snapToGrid w:val="0"/>
                <w:kern w:val="0"/>
              </w:rPr>
              <w:t>，现金缴费时该字段值为空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客户名称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 w:hAns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反显转账缴费账号的户名，现金缴费时该字段值为空</w:t>
            </w:r>
            <w:r>
              <w:rPr>
                <w:rFonts w:ascii="宋体" w:hAnsi="宋体"/>
                <w:snapToGrid w:val="0"/>
                <w:kern w:val="0"/>
              </w:rPr>
              <w:t xml:space="preserve">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交易日期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反显缴费日期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机构代码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反显缴费机构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经办柜员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反显经办柜员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授权柜员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反显授权柜员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中间业务流水号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反显中间业务流水号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</w:trPr>
        <w:tc>
          <w:tcPr>
            <w:tcW w:w="695" w:type="dxa"/>
            <w:tcBorders>
              <w:bottom w:val="single" w:color="auto" w:sz="12" w:space="0"/>
            </w:tcBorders>
            <w:vAlign w:val="center"/>
          </w:tcPr>
          <w:p>
            <w:pPr>
              <w:numPr>
                <w:ilvl w:val="0"/>
                <w:numId w:val="7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交易状态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</w:p>
        </w:tc>
        <w:tc>
          <w:tcPr>
            <w:tcW w:w="2268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反显交易状态</w:t>
            </w:r>
          </w:p>
        </w:tc>
      </w:tr>
    </w:tbl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bookmarkStart w:id="9" w:name="_Toc364695016"/>
      <w:r>
        <w:rPr>
          <w:rFonts w:hint="eastAsia" w:ascii="宋体" w:hAnsi="宋体"/>
          <w:sz w:val="21"/>
          <w:szCs w:val="21"/>
        </w:rPr>
        <w:t>操作流程</w:t>
      </w:r>
      <w:bookmarkEnd w:id="9"/>
    </w:p>
    <w:p>
      <w:pPr>
        <w:pStyle w:val="9"/>
        <w:numPr>
          <w:ilvl w:val="0"/>
          <w:numId w:val="8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柜员根据需要，启动缴费明细交易（</w:t>
      </w:r>
      <w:r>
        <w:rPr>
          <w:rFonts w:ascii="宋体" w:hAnsi="宋体"/>
          <w:sz w:val="21"/>
          <w:szCs w:val="21"/>
        </w:rPr>
        <w:t>853041</w:t>
      </w:r>
      <w:r>
        <w:rPr>
          <w:rFonts w:hint="eastAsia" w:ascii="宋体" w:hAnsi="宋体"/>
          <w:sz w:val="21"/>
          <w:szCs w:val="21"/>
        </w:rPr>
        <w:t>）。</w:t>
      </w:r>
    </w:p>
    <w:p>
      <w:pPr>
        <w:pStyle w:val="9"/>
        <w:numPr>
          <w:ilvl w:val="0"/>
          <w:numId w:val="8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柜员按要求输入相应的查询条件，点击“提交”按钮，其中起始日期和截止日期为必输字段。</w:t>
      </w:r>
    </w:p>
    <w:p>
      <w:pPr>
        <w:pStyle w:val="9"/>
        <w:numPr>
          <w:ilvl w:val="0"/>
          <w:numId w:val="8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查询成功后，所有符合条件的缴费明细记录显示在列表中，选中某条记录，点击“</w:t>
      </w:r>
      <w:r>
        <w:rPr>
          <w:rFonts w:ascii="宋体" w:hAnsi="宋体"/>
          <w:sz w:val="21"/>
          <w:szCs w:val="21"/>
        </w:rPr>
        <w:t>S</w:t>
      </w:r>
      <w:r>
        <w:rPr>
          <w:rFonts w:hint="eastAsia" w:ascii="宋体" w:hAnsi="宋体"/>
          <w:sz w:val="21"/>
          <w:szCs w:val="21"/>
        </w:rPr>
        <w:t>”，可显示单条记录的全部字段值。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bookmarkStart w:id="10" w:name="_Toc364695017"/>
      <w:r>
        <w:rPr>
          <w:rFonts w:hint="eastAsia" w:ascii="宋体" w:hAnsi="宋体"/>
          <w:sz w:val="21"/>
          <w:szCs w:val="21"/>
        </w:rPr>
        <w:t>注意事项</w:t>
      </w:r>
      <w:bookmarkEnd w:id="10"/>
    </w:p>
    <w:p>
      <w:pPr>
        <w:pStyle w:val="9"/>
        <w:numPr>
          <w:ilvl w:val="0"/>
          <w:numId w:val="9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核算中心和营业网点的中间业务柜员，均有权限通过该交易查询缴费明细。核算中心柜员查询时，机构号输入本机构时，查询下辖所有网点的缴费明细；营业网点柜员只可查询本机构的缴费明细。</w:t>
      </w:r>
    </w:p>
    <w:p>
      <w:pPr>
        <w:pStyle w:val="9"/>
        <w:numPr>
          <w:ilvl w:val="0"/>
          <w:numId w:val="9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查询结果会显示出所有缴费明细，包括缴费成功或失败等其他状态的缴费记录。</w:t>
      </w:r>
    </w:p>
    <w:p>
      <w:pPr>
        <w:pStyle w:val="3"/>
        <w:numPr>
          <w:ilvl w:val="1"/>
          <w:numId w:val="2"/>
        </w:numPr>
        <w:tabs>
          <w:tab w:val="left" w:pos="567"/>
        </w:tabs>
        <w:spacing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缴费汇总查询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基本信息</w:t>
      </w:r>
    </w:p>
    <w:tbl>
      <w:tblPr>
        <w:tblStyle w:val="14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交易名称</w:t>
            </w:r>
          </w:p>
        </w:tc>
        <w:tc>
          <w:tcPr>
            <w:tcW w:w="66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缴费汇总查询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交易代码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853042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kern w:val="0"/>
              </w:rPr>
              <w:t>本交易用于查询水费代缴的汇总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所核算中心和营业网点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中间业务账务处理角色柜员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bottom w:val="single" w:color="auto" w:sz="12" w:space="0"/>
            </w:tcBorders>
            <w:vAlign w:val="center"/>
          </w:tcPr>
          <w:p>
            <w:pPr>
              <w:pStyle w:val="26"/>
              <w:spacing w:line="240" w:lineRule="auto"/>
              <w:ind w:left="0" w:leftChars="0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无</w:t>
            </w:r>
          </w:p>
        </w:tc>
      </w:tr>
    </w:tbl>
    <w:p/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操作界面及栏位说明</w:t>
      </w:r>
    </w:p>
    <w:p>
      <w:pPr>
        <w:rPr>
          <w:b/>
        </w:rPr>
      </w:pPr>
      <w:r>
        <w:rPr>
          <w:rFonts w:hint="eastAsia"/>
          <w:b/>
        </w:rPr>
        <w:t>操作界面：</w:t>
      </w:r>
    </w:p>
    <w:p>
      <w:r>
        <w:pict>
          <v:shape id="_x0000_i1030" o:spt="75" type="#_x0000_t75" style="height:302.4pt;width:410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rPr>
          <w:b/>
        </w:rPr>
      </w:pPr>
      <w:r>
        <w:rPr>
          <w:rFonts w:hint="eastAsia"/>
          <w:b/>
        </w:rPr>
        <w:t>栏位说明：</w:t>
      </w:r>
    </w:p>
    <w:tbl>
      <w:tblPr>
        <w:tblStyle w:val="14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134"/>
        <w:gridCol w:w="1276"/>
        <w:gridCol w:w="1134"/>
        <w:gridCol w:w="1134"/>
        <w:gridCol w:w="1134"/>
        <w:gridCol w:w="198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491" w:type="dxa"/>
            <w:gridSpan w:val="7"/>
            <w:tcBorders>
              <w:top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查询条件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198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5" w:type="dxa"/>
            <w:tcBorders>
              <w:top w:val="single" w:color="auto" w:sz="12" w:space="0"/>
            </w:tcBorders>
            <w:vAlign w:val="center"/>
          </w:tcPr>
          <w:p>
            <w:pPr>
              <w:numPr>
                <w:ilvl w:val="0"/>
                <w:numId w:val="10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</w:rPr>
            </w:pPr>
            <w:r>
              <w:rPr>
                <w:rFonts w:hint="eastAsia" w:ascii="宋体" w:hAnsi="宋体"/>
              </w:rPr>
              <w:t>机构代码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当前机构</w:t>
            </w:r>
          </w:p>
        </w:tc>
        <w:tc>
          <w:tcPr>
            <w:tcW w:w="1984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非必输项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0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起始日期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1984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0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截止日期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空</w:t>
            </w:r>
          </w:p>
        </w:tc>
        <w:tc>
          <w:tcPr>
            <w:tcW w:w="1984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8491" w:type="dxa"/>
            <w:gridSpan w:val="7"/>
            <w:vAlign w:val="center"/>
          </w:tcPr>
          <w:p>
            <w:pPr>
              <w:jc w:val="center"/>
              <w:rPr>
                <w:rFonts w:ascii="宋体"/>
                <w:b/>
                <w:snapToGrid w:val="0"/>
                <w:kern w:val="0"/>
              </w:rPr>
            </w:pPr>
            <w:r>
              <w:rPr>
                <w:rFonts w:hint="eastAsia" w:ascii="宋体" w:hAnsi="宋体"/>
                <w:b/>
                <w:snapToGrid w:val="0"/>
                <w:kern w:val="0"/>
              </w:rPr>
              <w:t>查询结果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1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机构代码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1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机构名称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1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笔数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984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tcBorders>
              <w:bottom w:val="single" w:color="auto" w:sz="12" w:space="0"/>
            </w:tcBorders>
            <w:vAlign w:val="center"/>
          </w:tcPr>
          <w:p>
            <w:pPr>
              <w:numPr>
                <w:ilvl w:val="0"/>
                <w:numId w:val="11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已缴金额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984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</w:tbl>
    <w:p>
      <w:pPr>
        <w:rPr>
          <w:b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操作流程</w:t>
      </w:r>
    </w:p>
    <w:p>
      <w:pPr>
        <w:pStyle w:val="9"/>
        <w:numPr>
          <w:ilvl w:val="0"/>
          <w:numId w:val="12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柜员根据汇总查询需要，启动缴费汇总查询（</w:t>
      </w:r>
      <w:r>
        <w:rPr>
          <w:rFonts w:ascii="宋体" w:hAnsi="宋体"/>
          <w:sz w:val="21"/>
          <w:szCs w:val="21"/>
        </w:rPr>
        <w:t>583042</w:t>
      </w:r>
      <w:r>
        <w:rPr>
          <w:rFonts w:hint="eastAsia" w:ascii="宋体" w:hAnsi="宋体"/>
          <w:sz w:val="21"/>
          <w:szCs w:val="21"/>
        </w:rPr>
        <w:t>）。</w:t>
      </w:r>
    </w:p>
    <w:p>
      <w:pPr>
        <w:pStyle w:val="9"/>
        <w:numPr>
          <w:ilvl w:val="0"/>
          <w:numId w:val="12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柜员输入起始日期和截止日期，点击“提交”按钮。</w:t>
      </w:r>
    </w:p>
    <w:p>
      <w:pPr>
        <w:pStyle w:val="9"/>
        <w:numPr>
          <w:ilvl w:val="0"/>
          <w:numId w:val="12"/>
        </w:numPr>
        <w:tabs>
          <w:tab w:val="left" w:pos="851"/>
          <w:tab w:val="clear" w:pos="840"/>
        </w:tabs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交易成功后，查询结果中显示所有查询明细。</w:t>
      </w:r>
    </w:p>
    <w:p>
      <w:pPr>
        <w:pStyle w:val="9"/>
        <w:spacing w:after="0" w:line="240" w:lineRule="auto"/>
        <w:ind w:left="420"/>
        <w:rPr>
          <w:rFonts w:ascii="宋体"/>
          <w:sz w:val="21"/>
          <w:szCs w:val="21"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注意事项</w:t>
      </w:r>
    </w:p>
    <w:p>
      <w:pPr>
        <w:pStyle w:val="9"/>
        <w:numPr>
          <w:ilvl w:val="0"/>
          <w:numId w:val="13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核算中心和营业网点的中间业务柜员，均有权限通过该交易查询缴费汇总。核算中心柜员查询时，机构号输入本机构时，查询下辖所有网点的缴费汇总；营业网点柜员只可查询本机构的缴费汇总。</w:t>
      </w:r>
    </w:p>
    <w:p>
      <w:pPr>
        <w:pStyle w:val="9"/>
        <w:numPr>
          <w:ilvl w:val="0"/>
          <w:numId w:val="14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汇总的笔数为状态为成功的缴费明细笔数，其他状态的缴费笔数不统计在内。</w:t>
      </w:r>
    </w:p>
    <w:p>
      <w:pPr>
        <w:pStyle w:val="9"/>
        <w:spacing w:after="0" w:line="240" w:lineRule="auto"/>
        <w:rPr>
          <w:rFonts w:ascii="宋体"/>
          <w:sz w:val="21"/>
          <w:szCs w:val="21"/>
        </w:rPr>
      </w:pPr>
    </w:p>
    <w:p>
      <w:pPr>
        <w:pStyle w:val="3"/>
        <w:numPr>
          <w:ilvl w:val="1"/>
          <w:numId w:val="2"/>
        </w:numPr>
        <w:tabs>
          <w:tab w:val="left" w:pos="567"/>
        </w:tabs>
        <w:spacing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代理业务当日撤销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基本信息</w:t>
      </w:r>
    </w:p>
    <w:tbl>
      <w:tblPr>
        <w:tblStyle w:val="14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交易名称</w:t>
            </w:r>
          </w:p>
        </w:tc>
        <w:tc>
          <w:tcPr>
            <w:tcW w:w="66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代理业务当日撤销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交易代码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679007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kern w:val="0"/>
              </w:rPr>
              <w:t>本交易用于中间业务的撤销操作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所有营业网点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中间业务账务处理角色柜员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本机构授权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05</w:t>
            </w:r>
            <w:r>
              <w:rPr>
                <w:rFonts w:hint="eastAsia" w:ascii="宋体" w:hAnsi="宋体"/>
              </w:rPr>
              <w:t>级授权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bottom w:val="single" w:color="auto" w:sz="12" w:space="0"/>
            </w:tcBorders>
            <w:vAlign w:val="center"/>
          </w:tcPr>
          <w:p>
            <w:pPr>
              <w:pStyle w:val="26"/>
              <w:spacing w:line="240" w:lineRule="auto"/>
              <w:ind w:left="0" w:leftChars="0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代理业务当日撤销凭证</w:t>
            </w:r>
          </w:p>
        </w:tc>
      </w:tr>
    </w:tbl>
    <w:p/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操作界面及栏位说明</w:t>
      </w:r>
    </w:p>
    <w:p>
      <w:pPr>
        <w:rPr>
          <w:b/>
        </w:rPr>
      </w:pPr>
      <w:r>
        <w:rPr>
          <w:rFonts w:hint="eastAsia"/>
          <w:b/>
        </w:rPr>
        <w:t>操作界面：</w:t>
      </w:r>
    </w:p>
    <w:p>
      <w:r>
        <w:pict>
          <v:shape id="_x0000_i1031" o:spt="75" type="#_x0000_t75" style="height:302.4pt;width:410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/>
    <w:p/>
    <w:p/>
    <w:p/>
    <w:p/>
    <w:p/>
    <w:p>
      <w:pPr>
        <w:rPr>
          <w:b/>
        </w:rPr>
      </w:pPr>
      <w:r>
        <w:rPr>
          <w:rFonts w:hint="eastAsia"/>
          <w:b/>
        </w:rPr>
        <w:t>栏位说明：</w:t>
      </w:r>
    </w:p>
    <w:tbl>
      <w:tblPr>
        <w:tblStyle w:val="14"/>
        <w:tblW w:w="8491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134"/>
        <w:gridCol w:w="1276"/>
        <w:gridCol w:w="1134"/>
        <w:gridCol w:w="1134"/>
        <w:gridCol w:w="850"/>
        <w:gridCol w:w="226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268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5" w:type="dxa"/>
            <w:tcBorders>
              <w:top w:val="single" w:color="auto" w:sz="12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原中间业务流水号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原主机流水号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业务类型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户名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金额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数值型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经办柜员</w:t>
            </w:r>
          </w:p>
        </w:tc>
        <w:tc>
          <w:tcPr>
            <w:tcW w:w="127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输出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系统反显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tcBorders>
              <w:bottom w:val="single" w:color="auto" w:sz="12" w:space="0"/>
            </w:tcBorders>
            <w:vAlign w:val="center"/>
          </w:tcPr>
          <w:p>
            <w:pPr>
              <w:numPr>
                <w:ilvl w:val="0"/>
                <w:numId w:val="15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撤销原因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文本框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850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268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</w:tbl>
    <w:p/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操作流程</w:t>
      </w:r>
    </w:p>
    <w:p>
      <w:pPr>
        <w:pStyle w:val="9"/>
        <w:numPr>
          <w:ilvl w:val="0"/>
          <w:numId w:val="16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柜员根据业务需要时，启动代理业务当日撤销交易（</w:t>
      </w:r>
      <w:r>
        <w:rPr>
          <w:rFonts w:ascii="宋体" w:hAnsi="宋体"/>
          <w:sz w:val="21"/>
          <w:szCs w:val="21"/>
        </w:rPr>
        <w:t>679007</w:t>
      </w:r>
      <w:r>
        <w:rPr>
          <w:rFonts w:hint="eastAsia" w:ascii="宋体" w:hAnsi="宋体"/>
          <w:sz w:val="21"/>
          <w:szCs w:val="21"/>
        </w:rPr>
        <w:t>）。</w:t>
      </w:r>
    </w:p>
    <w:p>
      <w:pPr>
        <w:pStyle w:val="9"/>
        <w:numPr>
          <w:ilvl w:val="0"/>
          <w:numId w:val="16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柜员输入原中间业务流水号，系统会自动反显相关信息，需输入撤销原因，点击“撤销”按钮。</w:t>
      </w:r>
    </w:p>
    <w:p>
      <w:pPr>
        <w:pStyle w:val="9"/>
        <w:numPr>
          <w:ilvl w:val="0"/>
          <w:numId w:val="16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本终端</w:t>
      </w:r>
      <w:r>
        <w:rPr>
          <w:rFonts w:ascii="宋体" w:hAnsi="宋体"/>
          <w:sz w:val="21"/>
          <w:szCs w:val="21"/>
        </w:rPr>
        <w:t>05</w:t>
      </w:r>
      <w:r>
        <w:rPr>
          <w:rFonts w:hint="eastAsia" w:ascii="宋体" w:hAnsi="宋体"/>
          <w:sz w:val="21"/>
          <w:szCs w:val="21"/>
        </w:rPr>
        <w:t>级柜员授权。</w:t>
      </w:r>
    </w:p>
    <w:p>
      <w:pPr>
        <w:pStyle w:val="9"/>
        <w:numPr>
          <w:ilvl w:val="0"/>
          <w:numId w:val="16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交易成功后，提示打印撤销凭证。</w:t>
      </w:r>
    </w:p>
    <w:p>
      <w:pPr>
        <w:pStyle w:val="9"/>
        <w:spacing w:after="0" w:line="240" w:lineRule="auto"/>
        <w:rPr>
          <w:rFonts w:ascii="宋体"/>
          <w:sz w:val="21"/>
          <w:szCs w:val="21"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注意事项</w:t>
      </w:r>
    </w:p>
    <w:p>
      <w:pPr>
        <w:pStyle w:val="9"/>
        <w:numPr>
          <w:ilvl w:val="0"/>
          <w:numId w:val="17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柜员仅可对当日的中间业务做撤销，隔日的交易不可撤销。</w:t>
      </w:r>
    </w:p>
    <w:p>
      <w:pPr>
        <w:pStyle w:val="9"/>
        <w:numPr>
          <w:ilvl w:val="0"/>
          <w:numId w:val="17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柜员只能对交易状态为成功的中间业务做撤销，其他状态不可撤销。</w:t>
      </w:r>
    </w:p>
    <w:p>
      <w:pPr>
        <w:pStyle w:val="9"/>
        <w:numPr>
          <w:ilvl w:val="0"/>
          <w:numId w:val="17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撤销成功后，联机记账，红字冲销。</w:t>
      </w:r>
    </w:p>
    <w:p>
      <w:pPr>
        <w:pStyle w:val="9"/>
        <w:numPr>
          <w:ilvl w:val="0"/>
          <w:numId w:val="17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中间业务明细查询，该笔业务的状态由“成功”变为“撤销”。</w:t>
      </w:r>
    </w:p>
    <w:p>
      <w:pPr>
        <w:pStyle w:val="9"/>
        <w:spacing w:after="0" w:line="240" w:lineRule="auto"/>
        <w:rPr>
          <w:rFonts w:ascii="宋体"/>
          <w:sz w:val="21"/>
          <w:szCs w:val="21"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账务处理</w:t>
      </w:r>
    </w:p>
    <w:p>
      <w:r>
        <w:rPr>
          <w:rFonts w:hint="eastAsia"/>
        </w:rPr>
        <w:t>代缴水费业务当日撤销时：</w:t>
      </w:r>
    </w:p>
    <w:p>
      <w:pPr>
        <w:ind w:firstLine="420" w:firstLineChars="200"/>
        <w:rPr>
          <w:rFonts w:ascii="宋体"/>
        </w:rPr>
      </w:pPr>
      <w:r>
        <w:rPr>
          <w:rFonts w:ascii="宋体" w:hAnsi="宋体"/>
        </w:rPr>
        <w:t>1.</w:t>
      </w:r>
      <w:r>
        <w:rPr>
          <w:rFonts w:hint="eastAsia" w:ascii="宋体" w:hAnsi="宋体"/>
        </w:rPr>
        <w:t>现金业务撤销</w:t>
      </w:r>
    </w:p>
    <w:p>
      <w:pPr>
        <w:ind w:firstLine="420" w:firstLineChars="200"/>
        <w:rPr>
          <w:rFonts w:ascii="宋体"/>
        </w:rPr>
      </w:pPr>
      <w:r>
        <w:rPr>
          <w:rFonts w:hint="eastAsia" w:ascii="宋体" w:hAnsi="宋体"/>
        </w:rPr>
        <w:t>借：</w:t>
      </w:r>
      <w:r>
        <w:rPr>
          <w:rFonts w:ascii="宋体" w:hAnsi="宋体"/>
        </w:rPr>
        <w:t>10110010</w:t>
      </w:r>
      <w:r>
        <w:rPr>
          <w:rFonts w:hint="eastAsia" w:ascii="宋体" w:hAnsi="宋体"/>
        </w:rPr>
        <w:t>　　库存现金（红字）</w:t>
      </w:r>
    </w:p>
    <w:p>
      <w:pPr>
        <w:ind w:firstLine="630" w:firstLineChars="300"/>
        <w:rPr>
          <w:rFonts w:ascii="宋体"/>
        </w:rPr>
      </w:pPr>
      <w:r>
        <w:rPr>
          <w:rFonts w:hint="eastAsia" w:ascii="宋体" w:hAnsi="宋体"/>
        </w:rPr>
        <w:t>贷：</w:t>
      </w:r>
      <w:r>
        <w:rPr>
          <w:rFonts w:ascii="宋体" w:hAnsi="宋体"/>
        </w:rPr>
        <w:t>2011</w:t>
      </w:r>
      <w:r>
        <w:rPr>
          <w:rFonts w:hint="eastAsia" w:ascii="宋体" w:hAnsi="宋体"/>
        </w:rPr>
        <w:t>　　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活期存款（红字）</w:t>
      </w:r>
    </w:p>
    <w:p>
      <w:pPr>
        <w:ind w:firstLine="420" w:firstLineChars="200"/>
        <w:rPr>
          <w:rFonts w:ascii="宋体"/>
        </w:rPr>
      </w:pPr>
      <w:r>
        <w:rPr>
          <w:rFonts w:ascii="宋体" w:hAnsi="宋体"/>
        </w:rPr>
        <w:t>2.</w:t>
      </w:r>
      <w:r>
        <w:rPr>
          <w:rFonts w:hint="eastAsia" w:ascii="宋体" w:hAnsi="宋体"/>
        </w:rPr>
        <w:t>转账业务撤销</w:t>
      </w:r>
    </w:p>
    <w:p>
      <w:pPr>
        <w:ind w:firstLine="420" w:firstLineChars="200"/>
        <w:rPr>
          <w:rFonts w:ascii="宋体"/>
        </w:rPr>
      </w:pPr>
      <w:r>
        <w:rPr>
          <w:rFonts w:hint="eastAsia" w:ascii="宋体" w:hAnsi="宋体"/>
        </w:rPr>
        <w:t>借：</w:t>
      </w:r>
      <w:r>
        <w:rPr>
          <w:rFonts w:ascii="宋体" w:hAnsi="宋体"/>
        </w:rPr>
        <w:t>2111</w:t>
      </w:r>
      <w:r>
        <w:rPr>
          <w:rFonts w:hint="eastAsia" w:ascii="宋体" w:hAnsi="宋体"/>
        </w:rPr>
        <w:t>　　活期储蓄存款（红字）</w:t>
      </w:r>
    </w:p>
    <w:p>
      <w:pPr>
        <w:ind w:left="300" w:firstLine="420" w:firstLineChars="200"/>
        <w:rPr>
          <w:rFonts w:ascii="宋体"/>
        </w:rPr>
      </w:pPr>
      <w:r>
        <w:rPr>
          <w:rFonts w:hint="eastAsia" w:ascii="宋体" w:hAnsi="宋体"/>
        </w:rPr>
        <w:t>贷：</w:t>
      </w:r>
      <w:r>
        <w:rPr>
          <w:rFonts w:ascii="宋体" w:hAnsi="宋体"/>
        </w:rPr>
        <w:t>2011</w:t>
      </w:r>
      <w:r>
        <w:rPr>
          <w:rFonts w:hint="eastAsia" w:ascii="宋体" w:hAnsi="宋体"/>
        </w:rPr>
        <w:t>　　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活期存款（红字）</w:t>
      </w:r>
    </w:p>
    <w:p>
      <w:pPr>
        <w:ind w:firstLine="630" w:firstLineChars="300"/>
        <w:rPr>
          <w:rFonts w:ascii="宋体"/>
        </w:rPr>
      </w:pPr>
    </w:p>
    <w:p>
      <w:pPr>
        <w:pStyle w:val="3"/>
        <w:numPr>
          <w:ilvl w:val="1"/>
          <w:numId w:val="2"/>
        </w:numPr>
        <w:tabs>
          <w:tab w:val="left" w:pos="567"/>
        </w:tabs>
        <w:spacing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第三方对账手工重发</w:t>
      </w: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基本信息</w:t>
      </w:r>
    </w:p>
    <w:tbl>
      <w:tblPr>
        <w:tblStyle w:val="14"/>
        <w:tblW w:w="8329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6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top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交易名称</w:t>
            </w:r>
          </w:p>
        </w:tc>
        <w:tc>
          <w:tcPr>
            <w:tcW w:w="6650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第三方对账手工重发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菜单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交易代码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ascii="宋体" w:hAnsi="宋体"/>
              </w:rPr>
              <w:t>670010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功能说明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  <w:kern w:val="0"/>
              </w:rPr>
              <w:t>本交易用于白山代缴水费业务对账手工重发。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核算中心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操作角色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中间业务账务处理角色柜员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复核机构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79" w:type="dxa"/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授权</w:t>
            </w:r>
            <w:r>
              <w:rPr>
                <w:rFonts w:ascii="宋体" w:hAnsi="宋体"/>
              </w:rPr>
              <w:t>/</w:t>
            </w:r>
            <w:r>
              <w:rPr>
                <w:rFonts w:hint="eastAsia" w:ascii="宋体" w:hAnsi="宋体"/>
              </w:rPr>
              <w:t>复核角色</w:t>
            </w:r>
          </w:p>
        </w:tc>
        <w:tc>
          <w:tcPr>
            <w:tcW w:w="6650" w:type="dxa"/>
            <w:vAlign w:val="center"/>
          </w:tcPr>
          <w:p>
            <w:pPr>
              <w:rPr>
                <w:rFonts w:ascii="宋体"/>
              </w:rPr>
            </w:pPr>
            <w:r>
              <w:rPr>
                <w:rFonts w:hint="eastAsia" w:ascii="宋体" w:hAnsi="宋体"/>
              </w:rPr>
              <w:t>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79" w:type="dxa"/>
            <w:tcBorders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打印输出</w:t>
            </w:r>
          </w:p>
        </w:tc>
        <w:tc>
          <w:tcPr>
            <w:tcW w:w="6650" w:type="dxa"/>
            <w:tcBorders>
              <w:bottom w:val="single" w:color="auto" w:sz="12" w:space="0"/>
            </w:tcBorders>
            <w:vAlign w:val="center"/>
          </w:tcPr>
          <w:p>
            <w:pPr>
              <w:pStyle w:val="26"/>
              <w:spacing w:line="240" w:lineRule="auto"/>
              <w:ind w:left="0" w:leftChars="0"/>
              <w:rPr>
                <w:rFonts w:ascii="宋体"/>
                <w:b w:val="0"/>
                <w:sz w:val="21"/>
                <w:szCs w:val="21"/>
              </w:rPr>
            </w:pPr>
            <w:r>
              <w:rPr>
                <w:rFonts w:hint="eastAsia" w:ascii="宋体" w:hAnsi="宋体"/>
                <w:b w:val="0"/>
                <w:sz w:val="21"/>
                <w:szCs w:val="21"/>
              </w:rPr>
              <w:t>无</w:t>
            </w:r>
          </w:p>
        </w:tc>
      </w:tr>
    </w:tbl>
    <w:p/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操作界面及栏位说明</w:t>
      </w:r>
    </w:p>
    <w:p>
      <w:pPr>
        <w:rPr>
          <w:b/>
        </w:rPr>
      </w:pPr>
      <w:r>
        <w:rPr>
          <w:rFonts w:hint="eastAsia"/>
          <w:b/>
        </w:rPr>
        <w:t>操作界面：</w:t>
      </w:r>
    </w:p>
    <w:p>
      <w:r>
        <w:rPr>
          <w:rFonts w:ascii="宋体"/>
        </w:rPr>
        <w:pict>
          <v:shape id="_x0000_i1032" o:spt="75" type="#_x0000_t75" style="height:302.4pt;width:410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pPr>
        <w:rPr>
          <w:b/>
        </w:rPr>
      </w:pPr>
      <w:r>
        <w:rPr>
          <w:rFonts w:hint="eastAsia"/>
          <w:b/>
        </w:rPr>
        <w:t>栏位说明：</w:t>
      </w:r>
    </w:p>
    <w:tbl>
      <w:tblPr>
        <w:tblStyle w:val="14"/>
        <w:tblW w:w="8633" w:type="dxa"/>
        <w:tblInd w:w="12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134"/>
        <w:gridCol w:w="1276"/>
        <w:gridCol w:w="1134"/>
        <w:gridCol w:w="1134"/>
        <w:gridCol w:w="1134"/>
        <w:gridCol w:w="212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95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序号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栏位名称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输出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输入形式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数据类型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缺省值</w:t>
            </w:r>
          </w:p>
        </w:tc>
        <w:tc>
          <w:tcPr>
            <w:tcW w:w="2126" w:type="dxa"/>
            <w:tcBorders>
              <w:top w:val="single" w:color="auto" w:sz="12" w:space="0"/>
              <w:bottom w:val="single" w:color="auto" w:sz="12" w:space="0"/>
            </w:tcBorders>
            <w:shd w:val="clear" w:color="auto" w:fill="FABF8F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 w:cs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检查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hint="eastAsia" w:ascii="宋体" w:hAnsi="宋体" w:cs="宋体"/>
                <w:b/>
              </w:rPr>
              <w:t>输入设备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695" w:type="dxa"/>
            <w:tcBorders>
              <w:top w:val="single" w:color="auto" w:sz="12" w:space="0"/>
            </w:tcBorders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业务编号</w:t>
            </w:r>
          </w:p>
        </w:tc>
        <w:tc>
          <w:tcPr>
            <w:tcW w:w="1276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列表框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 w:cs="宋体"/>
              </w:rPr>
            </w:pPr>
            <w:r>
              <w:rPr>
                <w:rFonts w:hint="eastAsia" w:ascii="宋体" w:hAnsi="宋体" w:cs="宋体"/>
              </w:rPr>
              <w:t>字符型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白山水费</w:t>
            </w:r>
          </w:p>
        </w:tc>
        <w:tc>
          <w:tcPr>
            <w:tcW w:w="2126" w:type="dxa"/>
            <w:tcBorders>
              <w:top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695" w:type="dxa"/>
            <w:tcBorders>
              <w:bottom w:val="single" w:color="auto" w:sz="12" w:space="0"/>
            </w:tcBorders>
            <w:vAlign w:val="center"/>
          </w:tcPr>
          <w:p>
            <w:pPr>
              <w:numPr>
                <w:ilvl w:val="0"/>
                <w:numId w:val="18"/>
              </w:numPr>
              <w:jc w:val="center"/>
              <w:rPr>
                <w:rFonts w:ascii="宋体"/>
                <w:b/>
                <w:kern w:val="0"/>
              </w:rPr>
            </w:pP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left"/>
              <w:rPr>
                <w:rFonts w:ascii="宋体"/>
                <w:snapToGrid w:val="0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对账日期</w:t>
            </w:r>
          </w:p>
        </w:tc>
        <w:tc>
          <w:tcPr>
            <w:tcW w:w="1276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输入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日期框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 w:cs="宋体"/>
              </w:rPr>
              <w:t>日期型</w:t>
            </w:r>
          </w:p>
        </w:tc>
        <w:tc>
          <w:tcPr>
            <w:tcW w:w="1134" w:type="dxa"/>
            <w:tcBorders>
              <w:bottom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 w:hAnsi="宋体"/>
              </w:rPr>
              <w:t>当期日期</w:t>
            </w:r>
          </w:p>
        </w:tc>
        <w:tc>
          <w:tcPr>
            <w:tcW w:w="2126" w:type="dxa"/>
            <w:tcBorders>
              <w:bottom w:val="single" w:color="auto" w:sz="12" w:space="0"/>
            </w:tcBorders>
            <w:vAlign w:val="center"/>
          </w:tcPr>
          <w:p>
            <w:pPr>
              <w:rPr>
                <w:rFonts w:ascii="宋体"/>
                <w:snapToGrid w:val="0"/>
                <w:spacing w:val="14"/>
                <w:kern w:val="0"/>
              </w:rPr>
            </w:pPr>
            <w:r>
              <w:rPr>
                <w:rFonts w:hint="eastAsia" w:ascii="宋体" w:hAnsi="宋体"/>
                <w:snapToGrid w:val="0"/>
                <w:kern w:val="0"/>
              </w:rPr>
              <w:t>必输项</w:t>
            </w:r>
          </w:p>
        </w:tc>
      </w:tr>
    </w:tbl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操作流程</w:t>
      </w:r>
    </w:p>
    <w:p>
      <w:pPr>
        <w:pStyle w:val="9"/>
        <w:numPr>
          <w:ilvl w:val="0"/>
          <w:numId w:val="19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柜员在代缴水费业务对账不平时，启动该交易。</w:t>
      </w:r>
    </w:p>
    <w:p>
      <w:pPr>
        <w:pStyle w:val="9"/>
        <w:numPr>
          <w:ilvl w:val="0"/>
          <w:numId w:val="19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柜员选择业务编号，输入需要重发对账的日期，点击“提交”按钮。</w:t>
      </w:r>
    </w:p>
    <w:p>
      <w:pPr>
        <w:pStyle w:val="9"/>
        <w:spacing w:after="0" w:line="240" w:lineRule="auto"/>
        <w:rPr>
          <w:rFonts w:ascii="宋体"/>
          <w:sz w:val="21"/>
          <w:szCs w:val="21"/>
        </w:rPr>
      </w:pPr>
    </w:p>
    <w:p>
      <w:pPr>
        <w:pStyle w:val="4"/>
        <w:numPr>
          <w:ilvl w:val="2"/>
          <w:numId w:val="2"/>
        </w:numPr>
        <w:tabs>
          <w:tab w:val="left" w:pos="851"/>
        </w:tabs>
        <w:spacing w:before="0" w:after="0" w:line="240" w:lineRule="auto"/>
        <w:ind w:left="422" w:hanging="422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注意事项</w:t>
      </w:r>
    </w:p>
    <w:p>
      <w:pPr>
        <w:pStyle w:val="9"/>
        <w:numPr>
          <w:ilvl w:val="0"/>
          <w:numId w:val="20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中间业务的对账由系统自动完成，只有在对账不平时，需要柜员手工启动该交易，重新发送对账。</w:t>
      </w:r>
    </w:p>
    <w:p>
      <w:pPr>
        <w:pStyle w:val="9"/>
        <w:numPr>
          <w:ilvl w:val="0"/>
          <w:numId w:val="20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只有核算中心的中间业务柜员有权限做重发。</w:t>
      </w:r>
    </w:p>
    <w:p>
      <w:pPr>
        <w:pStyle w:val="9"/>
        <w:numPr>
          <w:ilvl w:val="0"/>
          <w:numId w:val="20"/>
        </w:numPr>
        <w:spacing w:after="0" w:line="240" w:lineRule="auto"/>
        <w:rPr>
          <w:rFonts w:asci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核算中心的柜员可以先通过主机对账状态查询（</w:t>
      </w:r>
      <w:r>
        <w:rPr>
          <w:rFonts w:ascii="宋体" w:hAnsi="宋体"/>
          <w:sz w:val="21"/>
          <w:szCs w:val="21"/>
        </w:rPr>
        <w:t>670006</w:t>
      </w:r>
      <w:r>
        <w:rPr>
          <w:rFonts w:hint="eastAsia" w:ascii="宋体" w:hAnsi="宋体"/>
          <w:sz w:val="21"/>
          <w:szCs w:val="21"/>
        </w:rPr>
        <w:t>）和主机对账不平查询（</w:t>
      </w:r>
      <w:r>
        <w:rPr>
          <w:rFonts w:ascii="宋体" w:hAnsi="宋体"/>
          <w:sz w:val="21"/>
          <w:szCs w:val="21"/>
        </w:rPr>
        <w:t>670009</w:t>
      </w:r>
      <w:r>
        <w:rPr>
          <w:rFonts w:hint="eastAsia"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2</w:t>
      </w:r>
      <w:r>
        <w:rPr>
          <w:rFonts w:hint="eastAsia" w:ascii="宋体" w:hAnsi="宋体"/>
          <w:sz w:val="21"/>
          <w:szCs w:val="21"/>
        </w:rPr>
        <w:t>个交易，查询相应的对账状态，对账不平时，需要手工重发对账。</w:t>
      </w: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tabs>
        <w:tab w:val="left" w:pos="885"/>
      </w:tabs>
      <w:jc w:val="left"/>
    </w:pPr>
    <w:r>
      <w:pict>
        <v:shape id="_x0000_i1033" o:spt="75" type="#_x0000_t75" style="height:19.6pt;width:153.8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right"/>
    </w:pPr>
    <w:r>
      <w:rPr>
        <w:rFonts w:hint="eastAsia"/>
      </w:rPr>
      <w:t>村镇银行柜面业务系统操作手册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B2C85"/>
    <w:multiLevelType w:val="multilevel"/>
    <w:tmpl w:val="0A3B2C85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1D0E57AA"/>
    <w:multiLevelType w:val="multilevel"/>
    <w:tmpl w:val="1D0E57AA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2">
    <w:nsid w:val="1D4235E7"/>
    <w:multiLevelType w:val="multilevel"/>
    <w:tmpl w:val="1D4235E7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1DF73F66"/>
    <w:multiLevelType w:val="multilevel"/>
    <w:tmpl w:val="1DF73F66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4">
    <w:nsid w:val="220F5A99"/>
    <w:multiLevelType w:val="multilevel"/>
    <w:tmpl w:val="220F5A99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5">
    <w:nsid w:val="236A42CA"/>
    <w:multiLevelType w:val="multilevel"/>
    <w:tmpl w:val="236A42CA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6">
    <w:nsid w:val="2E3B3EC7"/>
    <w:multiLevelType w:val="multilevel"/>
    <w:tmpl w:val="2E3B3EC7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7">
    <w:nsid w:val="371723CF"/>
    <w:multiLevelType w:val="multilevel"/>
    <w:tmpl w:val="371723CF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3B1B3B36"/>
    <w:multiLevelType w:val="multilevel"/>
    <w:tmpl w:val="3B1B3B36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9">
    <w:nsid w:val="416C17E4"/>
    <w:multiLevelType w:val="multilevel"/>
    <w:tmpl w:val="416C17E4"/>
    <w:lvl w:ilvl="0" w:tentative="0">
      <w:start w:val="1"/>
      <w:numFmt w:val="chineseCountingThousand"/>
      <w:suff w:val="space"/>
      <w:lvlText w:val="第%1章"/>
      <w:lvlJc w:val="left"/>
      <w:pPr>
        <w:ind w:left="360" w:hanging="360"/>
      </w:pPr>
      <w:rPr>
        <w:rFonts w:hint="eastAsia" w:cs="Times New Roman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360" w:hanging="360"/>
      </w:pPr>
      <w:rPr>
        <w:rFonts w:hint="eastAsia" w:ascii="宋体" w:hAnsi="宋体" w:eastAsia="宋体" w:cs="Times New Roman"/>
        <w:sz w:val="21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default" w:ascii="宋体" w:hAnsi="宋体" w:eastAsia="宋体" w:cs="Times New Roman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720" w:hanging="720"/>
      </w:pPr>
      <w:rPr>
        <w:rFonts w:hint="default" w:ascii="宋体" w:hAnsi="宋体" w:eastAsia="宋体" w:cs="Times New Roman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080" w:hanging="1080"/>
      </w:pPr>
      <w:rPr>
        <w:rFonts w:hint="default" w:ascii="宋体" w:hAnsi="宋体" w:eastAsia="宋体" w:cs="Times New Roman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080" w:hanging="1080"/>
      </w:pPr>
      <w:rPr>
        <w:rFonts w:hint="default" w:ascii="宋体" w:hAnsi="宋体" w:eastAsia="宋体" w:cs="Times New Roman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 w:cs="Times New Roman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 w:cs="Times New Roman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 w:cs="Times New Roman"/>
      </w:rPr>
    </w:lvl>
  </w:abstractNum>
  <w:abstractNum w:abstractNumId="10">
    <w:nsid w:val="4A957EAD"/>
    <w:multiLevelType w:val="multilevel"/>
    <w:tmpl w:val="4A957EAD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1">
    <w:nsid w:val="4ACE10DE"/>
    <w:multiLevelType w:val="multilevel"/>
    <w:tmpl w:val="4ACE10DE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2">
    <w:nsid w:val="54F32B58"/>
    <w:multiLevelType w:val="multilevel"/>
    <w:tmpl w:val="54F32B58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13">
    <w:nsid w:val="5E896922"/>
    <w:multiLevelType w:val="multilevel"/>
    <w:tmpl w:val="5E896922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4">
    <w:nsid w:val="61E42F82"/>
    <w:multiLevelType w:val="multilevel"/>
    <w:tmpl w:val="61E42F82"/>
    <w:lvl w:ilvl="0" w:tentative="0">
      <w:start w:val="1"/>
      <w:numFmt w:val="decimalZero"/>
      <w:lvlText w:val="%1"/>
      <w:lvlJc w:val="left"/>
      <w:pPr>
        <w:ind w:left="420" w:hanging="4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 w:cs="Times New Roman"/>
      </w:rPr>
    </w:lvl>
  </w:abstractNum>
  <w:abstractNum w:abstractNumId="15">
    <w:nsid w:val="67305BE3"/>
    <w:multiLevelType w:val="multilevel"/>
    <w:tmpl w:val="67305BE3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6">
    <w:nsid w:val="6B6E1CEF"/>
    <w:multiLevelType w:val="multilevel"/>
    <w:tmpl w:val="6B6E1CEF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7">
    <w:nsid w:val="6D732C19"/>
    <w:multiLevelType w:val="multilevel"/>
    <w:tmpl w:val="6D732C19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8">
    <w:nsid w:val="739746CA"/>
    <w:multiLevelType w:val="multilevel"/>
    <w:tmpl w:val="739746CA"/>
    <w:lvl w:ilvl="0" w:tentative="0">
      <w:start w:val="1"/>
      <w:numFmt w:val="decimal"/>
      <w:lvlText w:val="%1．"/>
      <w:lvlJc w:val="left"/>
      <w:pPr>
        <w:tabs>
          <w:tab w:val="left" w:pos="840"/>
        </w:tabs>
        <w:ind w:firstLine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num w:numId="1">
    <w:abstractNumId w:val="9"/>
    <w:lvlOverride w:ilvl="0">
      <w:lvl w:ilvl="0" w:tentative="1">
        <w:start w:val="1"/>
        <w:numFmt w:val="chineseCountingThousand"/>
        <w:pStyle w:val="2"/>
        <w:suff w:val="space"/>
        <w:lvlText w:val="第%1章"/>
        <w:lvlJc w:val="left"/>
        <w:pPr>
          <w:ind w:left="360" w:hanging="360"/>
        </w:pPr>
        <w:rPr>
          <w:rFonts w:hint="eastAsia" w:cs="Times New Roman"/>
        </w:rPr>
      </w:lvl>
    </w:lvlOverride>
  </w:num>
  <w:num w:numId="2">
    <w:abstractNumId w:val="9"/>
  </w:num>
  <w:num w:numId="3">
    <w:abstractNumId w:val="6"/>
  </w:num>
  <w:num w:numId="4">
    <w:abstractNumId w:val="7"/>
  </w:num>
  <w:num w:numId="5">
    <w:abstractNumId w:val="11"/>
  </w:num>
  <w:num w:numId="6">
    <w:abstractNumId w:val="12"/>
  </w:num>
  <w:num w:numId="7">
    <w:abstractNumId w:val="1"/>
  </w:num>
  <w:num w:numId="8">
    <w:abstractNumId w:val="16"/>
  </w:num>
  <w:num w:numId="9">
    <w:abstractNumId w:val="0"/>
  </w:num>
  <w:num w:numId="10">
    <w:abstractNumId w:val="3"/>
  </w:num>
  <w:num w:numId="11">
    <w:abstractNumId w:val="8"/>
  </w:num>
  <w:num w:numId="12">
    <w:abstractNumId w:val="4"/>
  </w:num>
  <w:num w:numId="13">
    <w:abstractNumId w:val="15"/>
  </w:num>
  <w:num w:numId="14">
    <w:abstractNumId w:val="18"/>
  </w:num>
  <w:num w:numId="15">
    <w:abstractNumId w:val="14"/>
  </w:num>
  <w:num w:numId="16">
    <w:abstractNumId w:val="2"/>
  </w:num>
  <w:num w:numId="17">
    <w:abstractNumId w:val="17"/>
  </w:num>
  <w:num w:numId="18">
    <w:abstractNumId w:val="5"/>
  </w:num>
  <w:num w:numId="19">
    <w:abstractNumId w:val="1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611E"/>
    <w:rsid w:val="000039E6"/>
    <w:rsid w:val="00004FB6"/>
    <w:rsid w:val="0002092F"/>
    <w:rsid w:val="00052FAD"/>
    <w:rsid w:val="00082F66"/>
    <w:rsid w:val="0009576E"/>
    <w:rsid w:val="00097D5E"/>
    <w:rsid w:val="000B1727"/>
    <w:rsid w:val="000D09E1"/>
    <w:rsid w:val="000D56D2"/>
    <w:rsid w:val="000F2AB0"/>
    <w:rsid w:val="000F4841"/>
    <w:rsid w:val="00102AF2"/>
    <w:rsid w:val="00113F39"/>
    <w:rsid w:val="001234D6"/>
    <w:rsid w:val="00127D49"/>
    <w:rsid w:val="00132AAC"/>
    <w:rsid w:val="0015216A"/>
    <w:rsid w:val="00167A20"/>
    <w:rsid w:val="00191B4C"/>
    <w:rsid w:val="001B6C82"/>
    <w:rsid w:val="001C3751"/>
    <w:rsid w:val="001E6300"/>
    <w:rsid w:val="002175CF"/>
    <w:rsid w:val="00223634"/>
    <w:rsid w:val="00253479"/>
    <w:rsid w:val="00255830"/>
    <w:rsid w:val="00272A93"/>
    <w:rsid w:val="0027408D"/>
    <w:rsid w:val="00293178"/>
    <w:rsid w:val="002933EE"/>
    <w:rsid w:val="002A09AD"/>
    <w:rsid w:val="002B2B02"/>
    <w:rsid w:val="002D5189"/>
    <w:rsid w:val="002E4D96"/>
    <w:rsid w:val="002F36EB"/>
    <w:rsid w:val="00305B15"/>
    <w:rsid w:val="003132E4"/>
    <w:rsid w:val="00315616"/>
    <w:rsid w:val="00322B2F"/>
    <w:rsid w:val="0033479D"/>
    <w:rsid w:val="003357BB"/>
    <w:rsid w:val="00360AD2"/>
    <w:rsid w:val="00370C5D"/>
    <w:rsid w:val="00383A44"/>
    <w:rsid w:val="0039428A"/>
    <w:rsid w:val="0039737C"/>
    <w:rsid w:val="003A4D42"/>
    <w:rsid w:val="003C1354"/>
    <w:rsid w:val="00414B2F"/>
    <w:rsid w:val="00420ADE"/>
    <w:rsid w:val="00436FDC"/>
    <w:rsid w:val="004516F2"/>
    <w:rsid w:val="00461C4E"/>
    <w:rsid w:val="004750A6"/>
    <w:rsid w:val="00477F61"/>
    <w:rsid w:val="004902CF"/>
    <w:rsid w:val="00494FBB"/>
    <w:rsid w:val="00497B14"/>
    <w:rsid w:val="004C5850"/>
    <w:rsid w:val="004D0612"/>
    <w:rsid w:val="004E5990"/>
    <w:rsid w:val="004E620A"/>
    <w:rsid w:val="00503F1D"/>
    <w:rsid w:val="00505F43"/>
    <w:rsid w:val="005239DF"/>
    <w:rsid w:val="005409C9"/>
    <w:rsid w:val="00541213"/>
    <w:rsid w:val="005456E7"/>
    <w:rsid w:val="0056029D"/>
    <w:rsid w:val="00583769"/>
    <w:rsid w:val="00587373"/>
    <w:rsid w:val="00595B63"/>
    <w:rsid w:val="005A21DC"/>
    <w:rsid w:val="0060067D"/>
    <w:rsid w:val="00612A1D"/>
    <w:rsid w:val="00630DC4"/>
    <w:rsid w:val="00647C48"/>
    <w:rsid w:val="00660494"/>
    <w:rsid w:val="00661B55"/>
    <w:rsid w:val="006633FA"/>
    <w:rsid w:val="00674505"/>
    <w:rsid w:val="00686311"/>
    <w:rsid w:val="006955B9"/>
    <w:rsid w:val="006957D6"/>
    <w:rsid w:val="006B1B24"/>
    <w:rsid w:val="006C4967"/>
    <w:rsid w:val="006C6366"/>
    <w:rsid w:val="006E10B0"/>
    <w:rsid w:val="006F06E0"/>
    <w:rsid w:val="0070451D"/>
    <w:rsid w:val="0071383B"/>
    <w:rsid w:val="00722D53"/>
    <w:rsid w:val="00723FEA"/>
    <w:rsid w:val="007265E5"/>
    <w:rsid w:val="0073650A"/>
    <w:rsid w:val="0073733B"/>
    <w:rsid w:val="007373FF"/>
    <w:rsid w:val="00746D65"/>
    <w:rsid w:val="00753026"/>
    <w:rsid w:val="007638A1"/>
    <w:rsid w:val="00772A47"/>
    <w:rsid w:val="00784981"/>
    <w:rsid w:val="00794219"/>
    <w:rsid w:val="00795351"/>
    <w:rsid w:val="007A1C30"/>
    <w:rsid w:val="007A4D3B"/>
    <w:rsid w:val="007B07ED"/>
    <w:rsid w:val="007C1AE5"/>
    <w:rsid w:val="007C425E"/>
    <w:rsid w:val="007C552A"/>
    <w:rsid w:val="007E45C4"/>
    <w:rsid w:val="007E6A43"/>
    <w:rsid w:val="00800825"/>
    <w:rsid w:val="0080279F"/>
    <w:rsid w:val="00803D01"/>
    <w:rsid w:val="008102D1"/>
    <w:rsid w:val="008467AE"/>
    <w:rsid w:val="00874263"/>
    <w:rsid w:val="00877E99"/>
    <w:rsid w:val="008A1D39"/>
    <w:rsid w:val="008A514C"/>
    <w:rsid w:val="008B09F5"/>
    <w:rsid w:val="008B6DC0"/>
    <w:rsid w:val="008D65EB"/>
    <w:rsid w:val="00901741"/>
    <w:rsid w:val="0090557E"/>
    <w:rsid w:val="0091059E"/>
    <w:rsid w:val="00915C7A"/>
    <w:rsid w:val="00916E5E"/>
    <w:rsid w:val="00924C14"/>
    <w:rsid w:val="00925DDC"/>
    <w:rsid w:val="009313FD"/>
    <w:rsid w:val="009370E2"/>
    <w:rsid w:val="009379B0"/>
    <w:rsid w:val="00942704"/>
    <w:rsid w:val="00954A25"/>
    <w:rsid w:val="00990328"/>
    <w:rsid w:val="009A1701"/>
    <w:rsid w:val="009B3117"/>
    <w:rsid w:val="009E09EB"/>
    <w:rsid w:val="00A214C4"/>
    <w:rsid w:val="00A262AC"/>
    <w:rsid w:val="00A3693B"/>
    <w:rsid w:val="00A379BE"/>
    <w:rsid w:val="00A52874"/>
    <w:rsid w:val="00AA1479"/>
    <w:rsid w:val="00AA5499"/>
    <w:rsid w:val="00AB4FF3"/>
    <w:rsid w:val="00AC023D"/>
    <w:rsid w:val="00AC4A43"/>
    <w:rsid w:val="00AE2A68"/>
    <w:rsid w:val="00AF01F6"/>
    <w:rsid w:val="00AF5E46"/>
    <w:rsid w:val="00AF5EF2"/>
    <w:rsid w:val="00B2115A"/>
    <w:rsid w:val="00B21321"/>
    <w:rsid w:val="00B36C9D"/>
    <w:rsid w:val="00B36FC6"/>
    <w:rsid w:val="00B50D0C"/>
    <w:rsid w:val="00B5124E"/>
    <w:rsid w:val="00B65908"/>
    <w:rsid w:val="00B76C8D"/>
    <w:rsid w:val="00B816A5"/>
    <w:rsid w:val="00B91162"/>
    <w:rsid w:val="00B91C77"/>
    <w:rsid w:val="00B9640F"/>
    <w:rsid w:val="00BB2785"/>
    <w:rsid w:val="00BC51D6"/>
    <w:rsid w:val="00BD1218"/>
    <w:rsid w:val="00BD4E4C"/>
    <w:rsid w:val="00BE6383"/>
    <w:rsid w:val="00BF611E"/>
    <w:rsid w:val="00C212AA"/>
    <w:rsid w:val="00C23C2E"/>
    <w:rsid w:val="00C262DF"/>
    <w:rsid w:val="00C623E6"/>
    <w:rsid w:val="00C80833"/>
    <w:rsid w:val="00C8306E"/>
    <w:rsid w:val="00C83F3C"/>
    <w:rsid w:val="00C910D6"/>
    <w:rsid w:val="00CD49AB"/>
    <w:rsid w:val="00CE0A88"/>
    <w:rsid w:val="00D14206"/>
    <w:rsid w:val="00D16538"/>
    <w:rsid w:val="00D22E5D"/>
    <w:rsid w:val="00D33D05"/>
    <w:rsid w:val="00D60E13"/>
    <w:rsid w:val="00D6189C"/>
    <w:rsid w:val="00D65B11"/>
    <w:rsid w:val="00D77DFA"/>
    <w:rsid w:val="00D80714"/>
    <w:rsid w:val="00D84DCD"/>
    <w:rsid w:val="00DA31B9"/>
    <w:rsid w:val="00DF3805"/>
    <w:rsid w:val="00E04778"/>
    <w:rsid w:val="00E06A9F"/>
    <w:rsid w:val="00E212A1"/>
    <w:rsid w:val="00E34658"/>
    <w:rsid w:val="00E4508D"/>
    <w:rsid w:val="00E8194D"/>
    <w:rsid w:val="00E9077D"/>
    <w:rsid w:val="00EA378F"/>
    <w:rsid w:val="00EA52C3"/>
    <w:rsid w:val="00EC71C2"/>
    <w:rsid w:val="00ED085D"/>
    <w:rsid w:val="00EE4025"/>
    <w:rsid w:val="00EF72C3"/>
    <w:rsid w:val="00F04A78"/>
    <w:rsid w:val="00F135D8"/>
    <w:rsid w:val="00F35450"/>
    <w:rsid w:val="00F35B5E"/>
    <w:rsid w:val="00F3721A"/>
    <w:rsid w:val="00F37A52"/>
    <w:rsid w:val="00F439A1"/>
    <w:rsid w:val="00F55DD2"/>
    <w:rsid w:val="00F5613D"/>
    <w:rsid w:val="00F631C7"/>
    <w:rsid w:val="00F9019D"/>
    <w:rsid w:val="00F92A94"/>
    <w:rsid w:val="00FC0F0A"/>
    <w:rsid w:val="00FC3CCD"/>
    <w:rsid w:val="00FC5580"/>
    <w:rsid w:val="00FC7727"/>
    <w:rsid w:val="00FD7AFF"/>
    <w:rsid w:val="00FF06BF"/>
    <w:rsid w:val="00FF0BE7"/>
    <w:rsid w:val="00FF1843"/>
    <w:rsid w:val="28A30AB9"/>
    <w:rsid w:val="2CCA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ind w:left="0" w:firstLine="0"/>
      <w:outlineLvl w:val="0"/>
    </w:pPr>
    <w:rPr>
      <w:rFonts w:ascii="Times New Roman" w:hAnsi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qFormat/>
    <w:uiPriority w:val="9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/>
      <w:b/>
      <w:bCs/>
      <w:kern w:val="0"/>
      <w:sz w:val="20"/>
      <w:szCs w:val="32"/>
    </w:rPr>
  </w:style>
  <w:style w:type="paragraph" w:styleId="4">
    <w:name w:val="heading 3"/>
    <w:basedOn w:val="1"/>
    <w:next w:val="1"/>
    <w:link w:val="17"/>
    <w:qFormat/>
    <w:uiPriority w:val="9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kern w:val="0"/>
      <w:sz w:val="20"/>
      <w:szCs w:val="32"/>
    </w:rPr>
  </w:style>
  <w:style w:type="paragraph" w:styleId="5">
    <w:name w:val="heading 4"/>
    <w:basedOn w:val="1"/>
    <w:next w:val="1"/>
    <w:link w:val="18"/>
    <w:qFormat/>
    <w:uiPriority w:val="9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/>
      <w:b/>
      <w:bCs/>
      <w:kern w:val="0"/>
      <w:szCs w:val="28"/>
    </w:rPr>
  </w:style>
  <w:style w:type="paragraph" w:styleId="6">
    <w:name w:val="heading 5"/>
    <w:basedOn w:val="1"/>
    <w:next w:val="1"/>
    <w:link w:val="19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ind w:left="0" w:firstLine="0"/>
      <w:outlineLvl w:val="4"/>
    </w:pPr>
    <w:rPr>
      <w:b/>
      <w:bCs/>
      <w:kern w:val="0"/>
      <w:sz w:val="20"/>
      <w:szCs w:val="28"/>
    </w:rPr>
  </w:style>
  <w:style w:type="paragraph" w:styleId="7">
    <w:name w:val="heading 6"/>
    <w:basedOn w:val="1"/>
    <w:next w:val="1"/>
    <w:link w:val="20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ind w:left="0" w:firstLine="0"/>
      <w:outlineLvl w:val="5"/>
    </w:pPr>
    <w:rPr>
      <w:rFonts w:ascii="Cambria" w:hAnsi="Cambria"/>
      <w:b/>
      <w:bCs/>
      <w:kern w:val="0"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Document Map"/>
    <w:basedOn w:val="1"/>
    <w:link w:val="27"/>
    <w:semiHidden/>
    <w:qFormat/>
    <w:uiPriority w:val="99"/>
    <w:rPr>
      <w:rFonts w:ascii="宋体"/>
      <w:sz w:val="18"/>
      <w:szCs w:val="18"/>
    </w:rPr>
  </w:style>
  <w:style w:type="paragraph" w:styleId="9">
    <w:name w:val="Body Text"/>
    <w:basedOn w:val="1"/>
    <w:link w:val="24"/>
    <w:qFormat/>
    <w:uiPriority w:val="99"/>
    <w:pPr>
      <w:spacing w:after="120" w:line="360" w:lineRule="auto"/>
    </w:pPr>
    <w:rPr>
      <w:kern w:val="0"/>
      <w:sz w:val="20"/>
      <w:szCs w:val="20"/>
    </w:rPr>
  </w:style>
  <w:style w:type="paragraph" w:styleId="10">
    <w:name w:val="Balloon Text"/>
    <w:basedOn w:val="1"/>
    <w:link w:val="28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5">
    <w:name w:val="标题 1 Char"/>
    <w:basedOn w:val="13"/>
    <w:link w:val="2"/>
    <w:qFormat/>
    <w:locked/>
    <w:uiPriority w:val="9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2 Char"/>
    <w:basedOn w:val="13"/>
    <w:link w:val="3"/>
    <w:qFormat/>
    <w:locked/>
    <w:uiPriority w:val="99"/>
    <w:rPr>
      <w:rFonts w:ascii="Arial" w:hAnsi="Arial" w:eastAsia="宋体" w:cs="Times New Roman"/>
      <w:b/>
      <w:bCs/>
      <w:kern w:val="0"/>
      <w:sz w:val="32"/>
      <w:szCs w:val="32"/>
    </w:rPr>
  </w:style>
  <w:style w:type="character" w:customStyle="1" w:styleId="17">
    <w:name w:val="标题 3 Char"/>
    <w:basedOn w:val="13"/>
    <w:link w:val="4"/>
    <w:qFormat/>
    <w:locked/>
    <w:uiPriority w:val="99"/>
    <w:rPr>
      <w:rFonts w:ascii="Calibri" w:hAnsi="Calibri" w:eastAsia="宋体" w:cs="Times New Roman"/>
      <w:b/>
      <w:bCs/>
      <w:kern w:val="0"/>
      <w:sz w:val="32"/>
      <w:szCs w:val="32"/>
    </w:rPr>
  </w:style>
  <w:style w:type="character" w:customStyle="1" w:styleId="18">
    <w:name w:val="标题 4 Char"/>
    <w:basedOn w:val="13"/>
    <w:link w:val="5"/>
    <w:qFormat/>
    <w:locked/>
    <w:uiPriority w:val="99"/>
    <w:rPr>
      <w:rFonts w:ascii="Arial" w:hAnsi="Arial" w:eastAsia="宋体" w:cs="Times New Roman"/>
      <w:b/>
      <w:bCs/>
      <w:kern w:val="0"/>
      <w:sz w:val="28"/>
      <w:szCs w:val="28"/>
    </w:rPr>
  </w:style>
  <w:style w:type="character" w:customStyle="1" w:styleId="19">
    <w:name w:val="标题 5 Char"/>
    <w:basedOn w:val="13"/>
    <w:link w:val="6"/>
    <w:qFormat/>
    <w:locked/>
    <w:uiPriority w:val="99"/>
    <w:rPr>
      <w:rFonts w:ascii="Calibri" w:hAnsi="Calibri" w:eastAsia="宋体" w:cs="Times New Roman"/>
      <w:b/>
      <w:bCs/>
      <w:kern w:val="0"/>
      <w:sz w:val="28"/>
      <w:szCs w:val="28"/>
    </w:rPr>
  </w:style>
  <w:style w:type="character" w:customStyle="1" w:styleId="20">
    <w:name w:val="标题 6 Char"/>
    <w:basedOn w:val="13"/>
    <w:link w:val="7"/>
    <w:qFormat/>
    <w:locked/>
    <w:uiPriority w:val="99"/>
    <w:rPr>
      <w:rFonts w:ascii="Cambria" w:hAnsi="Cambria" w:eastAsia="宋体" w:cs="Times New Roman"/>
      <w:b/>
      <w:bCs/>
      <w:kern w:val="0"/>
      <w:sz w:val="24"/>
      <w:szCs w:val="24"/>
    </w:rPr>
  </w:style>
  <w:style w:type="character" w:customStyle="1" w:styleId="21">
    <w:name w:val="页眉 Char"/>
    <w:basedOn w:val="13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22">
    <w:name w:val="页脚 Char"/>
    <w:basedOn w:val="13"/>
    <w:link w:val="11"/>
    <w:qFormat/>
    <w:locked/>
    <w:uiPriority w:val="99"/>
    <w:rPr>
      <w:rFonts w:cs="Times New Roman"/>
      <w:sz w:val="18"/>
      <w:szCs w:val="18"/>
    </w:rPr>
  </w:style>
  <w:style w:type="character" w:customStyle="1" w:styleId="23">
    <w:name w:val="正文文本 Char"/>
    <w:link w:val="9"/>
    <w:qFormat/>
    <w:locked/>
    <w:uiPriority w:val="99"/>
    <w:rPr>
      <w:rFonts w:ascii="Calibri" w:hAnsi="Calibri" w:eastAsia="宋体"/>
      <w:kern w:val="0"/>
      <w:sz w:val="20"/>
    </w:rPr>
  </w:style>
  <w:style w:type="character" w:customStyle="1" w:styleId="24">
    <w:name w:val="Body Text Char1"/>
    <w:basedOn w:val="13"/>
    <w:link w:val="9"/>
    <w:semiHidden/>
    <w:qFormat/>
    <w:uiPriority w:val="99"/>
    <w:rPr>
      <w:szCs w:val="21"/>
    </w:rPr>
  </w:style>
  <w:style w:type="character" w:customStyle="1" w:styleId="25">
    <w:name w:val="正文文本 Char1"/>
    <w:basedOn w:val="13"/>
    <w:semiHidden/>
    <w:qFormat/>
    <w:uiPriority w:val="99"/>
    <w:rPr>
      <w:rFonts w:ascii="Calibri" w:hAnsi="Calibri" w:eastAsia="宋体" w:cs="Times New Roman"/>
      <w:sz w:val="21"/>
      <w:szCs w:val="21"/>
    </w:rPr>
  </w:style>
  <w:style w:type="paragraph" w:customStyle="1" w:styleId="26">
    <w:name w:val="正文4"/>
    <w:basedOn w:val="1"/>
    <w:qFormat/>
    <w:uiPriority w:val="99"/>
    <w:pPr>
      <w:spacing w:line="320" w:lineRule="exact"/>
      <w:ind w:left="250" w:leftChars="250"/>
      <w:jc w:val="left"/>
    </w:pPr>
    <w:rPr>
      <w:rFonts w:ascii="Times New Roman" w:hAnsi="Times New Roman"/>
      <w:b/>
      <w:sz w:val="24"/>
      <w:szCs w:val="24"/>
    </w:rPr>
  </w:style>
  <w:style w:type="character" w:customStyle="1" w:styleId="27">
    <w:name w:val="文档结构图 Char"/>
    <w:basedOn w:val="13"/>
    <w:link w:val="8"/>
    <w:semiHidden/>
    <w:qFormat/>
    <w:locked/>
    <w:uiPriority w:val="99"/>
    <w:rPr>
      <w:rFonts w:ascii="宋体" w:hAnsi="Calibri" w:eastAsia="宋体" w:cs="Times New Roman"/>
      <w:sz w:val="18"/>
      <w:szCs w:val="18"/>
    </w:rPr>
  </w:style>
  <w:style w:type="character" w:customStyle="1" w:styleId="28">
    <w:name w:val="批注框文本 Char"/>
    <w:basedOn w:val="13"/>
    <w:link w:val="10"/>
    <w:semiHidden/>
    <w:qFormat/>
    <w:locked/>
    <w:uiPriority w:val="99"/>
    <w:rPr>
      <w:rFonts w:ascii="Calibri" w:hAnsi="Calibri" w:eastAsia="宋体" w:cs="Times New Roman"/>
      <w:sz w:val="18"/>
      <w:szCs w:val="18"/>
    </w:rPr>
  </w:style>
  <w:style w:type="paragraph" w:styleId="29">
    <w:name w:val="No Spacing"/>
    <w:link w:val="30"/>
    <w:qFormat/>
    <w:uiPriority w:val="99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30">
    <w:name w:val="无间隔 Char"/>
    <w:basedOn w:val="13"/>
    <w:link w:val="29"/>
    <w:qFormat/>
    <w:locked/>
    <w:uiPriority w:val="99"/>
    <w:rPr>
      <w:sz w:val="22"/>
      <w:szCs w:val="22"/>
      <w:lang w:val="en-US" w:eastAsia="zh-CN" w:bidi="ar-SA"/>
    </w:rPr>
  </w:style>
  <w:style w:type="paragraph" w:styleId="3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615</Words>
  <Characters>3507</Characters>
  <Lines>29</Lines>
  <Paragraphs>8</Paragraphs>
  <TotalTime>0</TotalTime>
  <ScaleCrop>false</ScaleCrop>
  <LinksUpToDate>false</LinksUpToDate>
  <CharactersWithSpaces>4114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2017-03-23T10:02:00Z</dcterms:created>
  <dc:creator>syslx102</dc:creator>
  <cp:lastModifiedBy>Administrator</cp:lastModifiedBy>
  <dcterms:modified xsi:type="dcterms:W3CDTF">2020-12-22T01:56:57Z</dcterms:modified>
  <cp:revision>218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