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640506469"/>
        <w:docPartObj>
          <w:docPartGallery w:val="autotext"/>
        </w:docPartObj>
      </w:sdtPr>
      <w:sdtEndPr>
        <w:rPr>
          <w:rFonts w:ascii="宋体" w:hAnsi="宋体"/>
          <w:sz w:val="32"/>
          <w:szCs w:val="32"/>
        </w:rPr>
      </w:sdtEndPr>
      <w:sdtContent>
        <w:sdt>
          <w:sdtPr>
            <w:id w:val="-1998339241"/>
            <w:docPartObj>
              <w:docPartGallery w:val="autotext"/>
            </w:docPartObj>
          </w:sdtPr>
          <w:sdtEndPr>
            <w:rPr>
              <w:rFonts w:ascii="宋体" w:hAnsi="宋体"/>
              <w:sz w:val="32"/>
              <w:szCs w:val="32"/>
            </w:rPr>
          </w:sdtEndPr>
          <w:sdtContent>
            <w:p>
              <w:pPr>
                <w:rPr>
                  <w:rFonts w:hint="eastAsia"/>
                </w:rPr>
              </w:pPr>
              <w:bookmarkStart w:id="0" w:name="_Toc364695007"/>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sz w:val="44"/>
                  <w:szCs w:val="44"/>
                </w:rPr>
              </w:pPr>
            </w:p>
            <w:p>
              <w:pPr>
                <w:jc w:val="center"/>
                <w:rPr>
                  <w:rFonts w:hint="eastAsia"/>
                  <w:b/>
                  <w:sz w:val="44"/>
                  <w:szCs w:val="44"/>
                </w:rPr>
              </w:pPr>
              <w:r>
                <w:rPr>
                  <w:rFonts w:hint="eastAsia"/>
                  <w:b/>
                  <w:sz w:val="44"/>
                  <w:szCs w:val="44"/>
                </w:rPr>
                <w:t>村镇银行柜面业务系统操作手册</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jc w:val="cente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jc w:val="center"/>
                <w:rPr>
                  <w:rFonts w:hint="eastAsia"/>
                </w:rPr>
              </w:pPr>
              <w:r>
                <w:drawing>
                  <wp:inline distT="0" distB="0" distL="0" distR="0">
                    <wp:extent cx="2992120" cy="373380"/>
                    <wp:effectExtent l="19050" t="0" r="0" b="0"/>
                    <wp:docPr id="22"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descr="gonsi"/>
                            <pic:cNvPicPr>
                              <a:picLocks noChangeAspect="1" noChangeArrowheads="1"/>
                            </pic:cNvPicPr>
                          </pic:nvPicPr>
                          <pic:blipFill>
                            <a:blip r:embed="rId6" cstate="print"/>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rPr>
                  <w:rFonts w:hint="eastAsia"/>
                </w:rPr>
              </w:pPr>
            </w:p>
            <w:p>
              <w:pPr>
                <w:jc w:val="center"/>
                <w:rPr>
                  <w:b/>
                </w:rPr>
              </w:pPr>
              <w:r>
                <w:rPr>
                  <w:b/>
                </w:rPr>
                <w:t>20</w:t>
              </w:r>
              <w:r>
                <w:rPr>
                  <w:rFonts w:hint="eastAsia"/>
                  <w:b/>
                  <w:lang w:val="en-US" w:eastAsia="zh-CN"/>
                </w:rPr>
                <w:t>20</w:t>
              </w:r>
              <w:r>
                <w:rPr>
                  <w:rFonts w:hint="eastAsia"/>
                  <w:b/>
                </w:rPr>
                <w:t>年</w:t>
              </w:r>
              <w:r>
                <w:rPr>
                  <w:b/>
                </w:rPr>
                <w:t>1</w:t>
              </w:r>
              <w:r>
                <w:rPr>
                  <w:rFonts w:hint="eastAsia"/>
                  <w:b/>
                  <w:lang w:val="en-US" w:eastAsia="zh-CN"/>
                </w:rPr>
                <w:t>2</w:t>
              </w:r>
              <w:r>
                <w:rPr>
                  <w:rFonts w:hint="eastAsia"/>
                  <w:b/>
                </w:rPr>
                <w:t>月</w:t>
              </w:r>
              <w:r>
                <w:rPr>
                  <w:rFonts w:hint="eastAsia"/>
                  <w:b/>
                  <w:lang w:val="en-US" w:eastAsia="zh-CN"/>
                </w:rPr>
                <w:t>22</w:t>
              </w:r>
              <w:r>
                <w:rPr>
                  <w:rFonts w:hint="eastAsia"/>
                  <w:b/>
                </w:rPr>
                <w:t>日</w:t>
              </w:r>
            </w:p>
            <w:p>
              <w:pPr>
                <w:rPr>
                  <w:rFonts w:ascii="宋体" w:hAnsi="宋体"/>
                  <w:sz w:val="32"/>
                  <w:szCs w:val="32"/>
                </w:rPr>
              </w:pPr>
              <w:r>
                <w:rPr>
                  <w:rFonts w:ascii="宋体" w:hAnsi="宋体"/>
                  <w:sz w:val="32"/>
                  <w:szCs w:val="32"/>
                </w:rPr>
                <w:br w:type="page"/>
              </w:r>
            </w:p>
          </w:sdtContent>
        </w:sdt>
      </w:sdtContent>
    </w:sdt>
    <w:p>
      <w:pPr>
        <w:pStyle w:val="2"/>
        <w:numPr>
          <w:ilvl w:val="0"/>
          <w:numId w:val="0"/>
        </w:numPr>
        <w:spacing w:line="240" w:lineRule="auto"/>
        <w:ind w:left="643"/>
        <w:jc w:val="center"/>
        <w:rPr>
          <w:rFonts w:ascii="宋体" w:hAnsi="宋体"/>
          <w:sz w:val="32"/>
          <w:szCs w:val="32"/>
        </w:rPr>
      </w:pPr>
      <w:bookmarkStart w:id="13" w:name="_GoBack"/>
      <w:bookmarkEnd w:id="13"/>
      <w:r>
        <w:rPr>
          <w:rFonts w:hint="eastAsia" w:ascii="宋体" w:hAnsi="宋体"/>
          <w:sz w:val="32"/>
          <w:szCs w:val="32"/>
        </w:rPr>
        <w:t>中间业务</w:t>
      </w:r>
      <w:bookmarkEnd w:id="0"/>
    </w:p>
    <w:p>
      <w:pPr>
        <w:pStyle w:val="3"/>
        <w:numPr>
          <w:ilvl w:val="1"/>
          <w:numId w:val="2"/>
        </w:numPr>
        <w:tabs>
          <w:tab w:val="left" w:pos="567"/>
        </w:tabs>
        <w:spacing w:line="240" w:lineRule="auto"/>
        <w:ind w:left="422" w:hanging="422"/>
        <w:rPr>
          <w:rFonts w:ascii="宋体" w:hAnsi="宋体"/>
          <w:sz w:val="21"/>
          <w:szCs w:val="21"/>
        </w:rPr>
      </w:pPr>
      <w:bookmarkStart w:id="1" w:name="_Toc364695008"/>
      <w:r>
        <w:rPr>
          <w:rFonts w:hint="eastAsia" w:ascii="宋体" w:hAnsi="宋体"/>
          <w:sz w:val="21"/>
          <w:szCs w:val="21"/>
        </w:rPr>
        <w:t>批量开折</w:t>
      </w:r>
      <w:bookmarkEnd w:id="1"/>
    </w:p>
    <w:p>
      <w:pPr>
        <w:pStyle w:val="4"/>
        <w:numPr>
          <w:ilvl w:val="2"/>
          <w:numId w:val="2"/>
        </w:numPr>
        <w:tabs>
          <w:tab w:val="left" w:pos="851"/>
        </w:tabs>
        <w:spacing w:before="0" w:after="0" w:line="240" w:lineRule="auto"/>
        <w:ind w:left="422" w:hanging="422"/>
        <w:rPr>
          <w:rFonts w:ascii="宋体" w:hAnsi="宋体"/>
          <w:sz w:val="21"/>
          <w:szCs w:val="21"/>
        </w:rPr>
      </w:pPr>
      <w:bookmarkStart w:id="2" w:name="_Toc364695009"/>
      <w:r>
        <w:rPr>
          <w:rFonts w:hint="eastAsia" w:ascii="宋体" w:hAnsi="宋体"/>
          <w:sz w:val="21"/>
          <w:szCs w:val="21"/>
        </w:rPr>
        <w:t>基本信息</w:t>
      </w:r>
      <w:bookmarkEnd w:id="2"/>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批量开折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000010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本交易用于中间业务平台批量开折业务处理后，在统一柜面系统进行存折批量打印的处理。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中间业务账务处理角色柜员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82"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25"/>
              <w:spacing w:line="240" w:lineRule="auto"/>
              <w:ind w:left="0" w:leftChars="0"/>
              <w:rPr>
                <w:rFonts w:ascii="宋体" w:hAnsi="宋体"/>
                <w:b w:val="0"/>
                <w:sz w:val="21"/>
                <w:szCs w:val="21"/>
              </w:rPr>
            </w:pPr>
            <w:r>
              <w:rPr>
                <w:rFonts w:hint="eastAsia" w:ascii="宋体" w:hAnsi="宋体"/>
                <w:b w:val="0"/>
                <w:sz w:val="21"/>
                <w:szCs w:val="21"/>
              </w:rPr>
              <w:t>活期一本通存折</w:t>
            </w:r>
          </w:p>
        </w:tc>
      </w:tr>
    </w:tbl>
    <w:p>
      <w:pPr>
        <w:pStyle w:val="4"/>
        <w:numPr>
          <w:ilvl w:val="2"/>
          <w:numId w:val="2"/>
        </w:numPr>
        <w:tabs>
          <w:tab w:val="left" w:pos="851"/>
        </w:tabs>
        <w:spacing w:before="0" w:after="0" w:line="240" w:lineRule="auto"/>
        <w:ind w:left="422" w:hanging="422"/>
        <w:rPr>
          <w:rFonts w:ascii="宋体" w:hAnsi="宋体"/>
          <w:sz w:val="21"/>
          <w:szCs w:val="21"/>
        </w:rPr>
      </w:pPr>
      <w:bookmarkStart w:id="3" w:name="_Toc364695010"/>
      <w:r>
        <w:rPr>
          <w:rFonts w:hint="eastAsia" w:ascii="宋体" w:hAnsi="宋体"/>
          <w:sz w:val="21"/>
          <w:szCs w:val="21"/>
        </w:rPr>
        <w:t>操作界面及栏位说明</w:t>
      </w:r>
      <w:bookmarkEnd w:id="3"/>
    </w:p>
    <w:p>
      <w:pPr>
        <w:rPr>
          <w:rFonts w:ascii="宋体" w:hAnsi="宋体"/>
          <w:b/>
          <w:kern w:val="0"/>
        </w:rPr>
      </w:pPr>
      <w:r>
        <w:rPr>
          <w:rFonts w:hint="eastAsia" w:ascii="宋体" w:hAnsi="宋体"/>
          <w:b/>
          <w:kern w:val="0"/>
        </w:rPr>
        <w:t>操作界面：</w:t>
      </w:r>
    </w:p>
    <w:p>
      <w:pPr>
        <w:rPr>
          <w:rFonts w:ascii="宋体" w:hAnsi="宋体"/>
          <w:b/>
          <w:kern w:val="0"/>
        </w:rPr>
      </w:pPr>
      <w:r>
        <w:rPr>
          <w:rFonts w:hint="eastAsia" w:ascii="宋体" w:hAnsi="宋体"/>
          <w:b/>
          <w:kern w:val="0"/>
        </w:rPr>
        <w:drawing>
          <wp:inline distT="0" distB="0" distL="0" distR="0">
            <wp:extent cx="5274310" cy="3719830"/>
            <wp:effectExtent l="1905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7" cstate="print"/>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14"/>
        <w:tblW w:w="8633"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276"/>
        <w:gridCol w:w="1134"/>
        <w:gridCol w:w="992"/>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3"/>
              </w:numPr>
              <w:jc w:val="center"/>
              <w:rPr>
                <w:rFonts w:ascii="宋体" w:hAnsi="宋体"/>
                <w:b/>
                <w:kern w:val="0"/>
              </w:rPr>
            </w:pP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批次号</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92"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126"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中间业务日期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必输项，系统自动反显当前日期，根据需要可做修改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中间业务编号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产品代码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 列表选择0001020-个人结算存折户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pacing w:val="16"/>
              </w:rPr>
            </w:pPr>
            <w:r>
              <w:rPr>
                <w:rFonts w:hint="eastAsia" w:ascii="宋体" w:hAnsi="宋体"/>
              </w:rPr>
              <w:t>凭证号码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存期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3"/>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存期类型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系统自动反显</w:t>
            </w:r>
          </w:p>
        </w:tc>
      </w:tr>
    </w:tbl>
    <w:p>
      <w:pPr>
        <w:pStyle w:val="4"/>
        <w:numPr>
          <w:ilvl w:val="2"/>
          <w:numId w:val="2"/>
        </w:numPr>
        <w:tabs>
          <w:tab w:val="left" w:pos="851"/>
        </w:tabs>
        <w:spacing w:before="0" w:after="0" w:line="240" w:lineRule="auto"/>
        <w:ind w:left="422" w:hanging="422"/>
        <w:rPr>
          <w:rFonts w:ascii="宋体" w:hAnsi="宋体"/>
          <w:sz w:val="21"/>
          <w:szCs w:val="21"/>
        </w:rPr>
      </w:pPr>
      <w:bookmarkStart w:id="4" w:name="_Toc364695011"/>
      <w:bookmarkStart w:id="5" w:name="_Toc354817251"/>
      <w:r>
        <w:rPr>
          <w:rFonts w:hint="eastAsia" w:ascii="宋体" w:hAnsi="宋体"/>
          <w:sz w:val="21"/>
          <w:szCs w:val="21"/>
        </w:rPr>
        <w:t>操作流程</w:t>
      </w:r>
      <w:bookmarkEnd w:id="4"/>
      <w:bookmarkEnd w:id="5"/>
    </w:p>
    <w:p>
      <w:pPr>
        <w:pStyle w:val="9"/>
        <w:numPr>
          <w:ilvl w:val="0"/>
          <w:numId w:val="4"/>
        </w:numPr>
        <w:spacing w:after="0" w:line="240" w:lineRule="auto"/>
        <w:rPr>
          <w:rFonts w:ascii="宋体" w:hAnsi="宋体"/>
          <w:sz w:val="21"/>
          <w:szCs w:val="21"/>
        </w:rPr>
      </w:pPr>
      <w:r>
        <w:rPr>
          <w:rFonts w:hint="eastAsia" w:ascii="宋体" w:hAnsi="宋体"/>
          <w:sz w:val="21"/>
          <w:szCs w:val="21"/>
        </w:rPr>
        <w:t>柜员根据总行中间业务平台柜员提供的信息，启动批量开折交易（000010）。</w:t>
      </w:r>
    </w:p>
    <w:p>
      <w:pPr>
        <w:pStyle w:val="9"/>
        <w:numPr>
          <w:ilvl w:val="0"/>
          <w:numId w:val="4"/>
        </w:numPr>
        <w:spacing w:after="0" w:line="240" w:lineRule="auto"/>
        <w:rPr>
          <w:rFonts w:ascii="宋体" w:hAnsi="宋体"/>
          <w:sz w:val="21"/>
          <w:szCs w:val="21"/>
        </w:rPr>
      </w:pPr>
      <w:r>
        <w:rPr>
          <w:rFonts w:hint="eastAsia" w:ascii="宋体" w:hAnsi="宋体"/>
          <w:sz w:val="21"/>
          <w:szCs w:val="21"/>
        </w:rPr>
        <w:t>柜员输入中间业务平台柜员提供的批次号、中间业务日期、中间业务编号、产品代码等信息，系统自动反显凭证号码后提交。</w:t>
      </w:r>
    </w:p>
    <w:p>
      <w:pPr>
        <w:pStyle w:val="9"/>
        <w:numPr>
          <w:ilvl w:val="0"/>
          <w:numId w:val="4"/>
        </w:numPr>
        <w:spacing w:after="0" w:line="240" w:lineRule="auto"/>
        <w:rPr>
          <w:rFonts w:ascii="宋体" w:hAnsi="宋体"/>
          <w:sz w:val="21"/>
          <w:szCs w:val="21"/>
        </w:rPr>
      </w:pPr>
      <w:r>
        <w:rPr>
          <w:rFonts w:hint="eastAsia" w:ascii="宋体" w:hAnsi="宋体"/>
          <w:sz w:val="21"/>
          <w:szCs w:val="21"/>
        </w:rPr>
        <w:t>按系统提示打印活期储蓄存折。</w:t>
      </w:r>
    </w:p>
    <w:p>
      <w:pPr>
        <w:pStyle w:val="9"/>
        <w:numPr>
          <w:ilvl w:val="0"/>
          <w:numId w:val="4"/>
        </w:numPr>
        <w:spacing w:after="0" w:line="240" w:lineRule="auto"/>
        <w:rPr>
          <w:rFonts w:ascii="宋体" w:hAnsi="宋体"/>
          <w:sz w:val="21"/>
          <w:szCs w:val="21"/>
        </w:rPr>
      </w:pPr>
      <w:r>
        <w:rPr>
          <w:rFonts w:hint="eastAsia" w:ascii="宋体" w:hAnsi="宋体"/>
          <w:sz w:val="21"/>
          <w:szCs w:val="21"/>
        </w:rPr>
        <w:t>交易成功后，退出本交易。</w:t>
      </w:r>
    </w:p>
    <w:p>
      <w:pPr>
        <w:pStyle w:val="9"/>
        <w:numPr>
          <w:ilvl w:val="0"/>
          <w:numId w:val="4"/>
        </w:numPr>
        <w:spacing w:after="0" w:line="240" w:lineRule="auto"/>
        <w:rPr>
          <w:rFonts w:ascii="宋体" w:hAnsi="宋体"/>
          <w:sz w:val="21"/>
          <w:szCs w:val="21"/>
        </w:rPr>
      </w:pPr>
      <w:r>
        <w:rPr>
          <w:rFonts w:hint="eastAsia" w:ascii="宋体" w:hAnsi="宋体"/>
          <w:sz w:val="21"/>
          <w:szCs w:val="21"/>
        </w:rPr>
        <w:t>日终，柜员按照本人办理的同一批次号的活期储蓄存折数量填制汇总表外付出传票，做为该类交易凭证入传票管理。</w:t>
      </w:r>
    </w:p>
    <w:p>
      <w:pPr>
        <w:pStyle w:val="4"/>
        <w:numPr>
          <w:ilvl w:val="2"/>
          <w:numId w:val="2"/>
        </w:numPr>
        <w:tabs>
          <w:tab w:val="left" w:pos="851"/>
        </w:tabs>
        <w:spacing w:before="0" w:after="0" w:line="240" w:lineRule="auto"/>
        <w:ind w:left="422" w:hanging="422"/>
        <w:rPr>
          <w:rFonts w:ascii="宋体" w:hAnsi="宋体"/>
          <w:sz w:val="21"/>
          <w:szCs w:val="21"/>
        </w:rPr>
      </w:pPr>
      <w:bookmarkStart w:id="6" w:name="_Toc354817252"/>
      <w:bookmarkStart w:id="7" w:name="_Toc364695012"/>
      <w:r>
        <w:rPr>
          <w:rFonts w:hint="eastAsia" w:ascii="宋体" w:hAnsi="宋体"/>
          <w:sz w:val="21"/>
          <w:szCs w:val="21"/>
        </w:rPr>
        <w:t>注意事项</w:t>
      </w:r>
      <w:bookmarkEnd w:id="6"/>
      <w:bookmarkEnd w:id="7"/>
    </w:p>
    <w:p>
      <w:pPr>
        <w:ind w:firstLine="420" w:firstLineChars="200"/>
        <w:rPr>
          <w:rFonts w:ascii="宋体" w:hAnsi="宋体"/>
          <w:color w:val="000000"/>
        </w:rPr>
      </w:pPr>
      <w:r>
        <w:rPr>
          <w:rFonts w:hint="eastAsia" w:ascii="宋体" w:hAnsi="宋体"/>
          <w:color w:val="000000"/>
        </w:rPr>
        <w:t>批量开折失败的情况可能有柜员存折存量不足、内部账户余额不足或通讯失败等情况，柜员在做此交易前应做好准备工作。</w:t>
      </w:r>
    </w:p>
    <w:p>
      <w:pPr>
        <w:pStyle w:val="3"/>
        <w:numPr>
          <w:ilvl w:val="1"/>
          <w:numId w:val="2"/>
        </w:numPr>
        <w:tabs>
          <w:tab w:val="left" w:pos="567"/>
        </w:tabs>
        <w:spacing w:line="240" w:lineRule="auto"/>
        <w:ind w:left="422" w:hanging="422"/>
        <w:rPr>
          <w:rFonts w:ascii="宋体" w:hAnsi="宋体"/>
          <w:sz w:val="21"/>
          <w:szCs w:val="21"/>
        </w:rPr>
      </w:pPr>
      <w:bookmarkStart w:id="8" w:name="_Toc364695013"/>
      <w:r>
        <w:rPr>
          <w:rFonts w:hint="eastAsia" w:ascii="宋体" w:hAnsi="宋体"/>
          <w:sz w:val="21"/>
          <w:szCs w:val="21"/>
        </w:rPr>
        <w:t>批量补开存折</w:t>
      </w:r>
      <w:bookmarkEnd w:id="8"/>
    </w:p>
    <w:p>
      <w:pPr>
        <w:pStyle w:val="4"/>
        <w:numPr>
          <w:ilvl w:val="2"/>
          <w:numId w:val="2"/>
        </w:numPr>
        <w:tabs>
          <w:tab w:val="left" w:pos="851"/>
        </w:tabs>
        <w:spacing w:before="0" w:after="0" w:line="240" w:lineRule="auto"/>
        <w:ind w:left="422" w:hanging="422"/>
        <w:rPr>
          <w:rFonts w:ascii="宋体" w:hAnsi="宋体"/>
          <w:sz w:val="21"/>
          <w:szCs w:val="21"/>
        </w:rPr>
      </w:pPr>
      <w:bookmarkStart w:id="9" w:name="_Toc364695014"/>
      <w:r>
        <w:rPr>
          <w:rFonts w:hint="eastAsia" w:ascii="宋体" w:hAnsi="宋体"/>
          <w:sz w:val="21"/>
          <w:szCs w:val="21"/>
        </w:rPr>
        <w:t>基本信息</w:t>
      </w:r>
      <w:bookmarkEnd w:id="9"/>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批量补开存折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000011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color w:val="000000"/>
              </w:rPr>
            </w:pPr>
            <w:r>
              <w:rPr>
                <w:rFonts w:hint="eastAsia" w:ascii="宋体" w:hAnsi="宋体"/>
                <w:color w:val="000000"/>
                <w:kern w:val="0"/>
              </w:rPr>
              <w:t>本交易用于统一柜面系统批量开折处理失败后，补开存折的处理。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中间业务账务处理角色柜员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82"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25"/>
              <w:spacing w:line="240" w:lineRule="auto"/>
              <w:ind w:left="0" w:leftChars="0"/>
              <w:rPr>
                <w:rFonts w:ascii="宋体" w:hAnsi="宋体"/>
                <w:b w:val="0"/>
                <w:sz w:val="21"/>
                <w:szCs w:val="21"/>
              </w:rPr>
            </w:pPr>
            <w:r>
              <w:rPr>
                <w:rFonts w:hint="eastAsia" w:ascii="宋体" w:hAnsi="宋体"/>
                <w:b w:val="0"/>
                <w:sz w:val="21"/>
                <w:szCs w:val="21"/>
              </w:rPr>
              <w:t>活期一本通存折</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pStyle w:val="4"/>
        <w:numPr>
          <w:ilvl w:val="2"/>
          <w:numId w:val="2"/>
        </w:numPr>
        <w:tabs>
          <w:tab w:val="left" w:pos="851"/>
        </w:tabs>
        <w:spacing w:before="0" w:after="0" w:line="240" w:lineRule="auto"/>
        <w:ind w:left="422" w:hanging="422"/>
        <w:rPr>
          <w:rFonts w:ascii="宋体" w:hAnsi="宋体"/>
          <w:sz w:val="21"/>
          <w:szCs w:val="21"/>
        </w:rPr>
      </w:pPr>
      <w:bookmarkStart w:id="10" w:name="_Toc364695015"/>
      <w:r>
        <w:rPr>
          <w:rFonts w:hint="eastAsia" w:ascii="宋体" w:hAnsi="宋体"/>
          <w:sz w:val="21"/>
          <w:szCs w:val="21"/>
        </w:rPr>
        <w:t>操作界面及栏位说明</w:t>
      </w:r>
      <w:bookmarkEnd w:id="10"/>
    </w:p>
    <w:p>
      <w:pPr>
        <w:rPr>
          <w:rFonts w:ascii="宋体" w:hAnsi="宋体"/>
          <w:b/>
          <w:kern w:val="0"/>
        </w:rPr>
      </w:pPr>
      <w:r>
        <w:rPr>
          <w:rFonts w:hint="eastAsia" w:ascii="宋体" w:hAnsi="宋体"/>
          <w:b/>
          <w:kern w:val="0"/>
        </w:rPr>
        <w:t>操作界面：</w:t>
      </w:r>
    </w:p>
    <w:p>
      <w:pPr>
        <w:rPr>
          <w:rFonts w:ascii="宋体" w:hAnsi="宋体"/>
          <w:b/>
          <w:kern w:val="0"/>
        </w:rPr>
      </w:pPr>
      <w:r>
        <w:rPr>
          <w:rFonts w:hint="eastAsia" w:ascii="宋体" w:hAnsi="宋体"/>
          <w:b/>
          <w:kern w:val="0"/>
        </w:rPr>
        <w:drawing>
          <wp:inline distT="0" distB="0" distL="0" distR="0">
            <wp:extent cx="5274310" cy="3719830"/>
            <wp:effectExtent l="1905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8" cstate="print"/>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w:t>
      </w:r>
    </w:p>
    <w:tbl>
      <w:tblPr>
        <w:tblStyle w:val="14"/>
        <w:tblW w:w="849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134"/>
        <w:gridCol w:w="850"/>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批次号</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0"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26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中间业务日期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必输项，系统自动反显当前日期，根据需要可做修改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中间业务编号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产品代码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 列表选择0001020-个人结算存折户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pacing w:val="16"/>
              </w:rPr>
            </w:pPr>
            <w:r>
              <w:rPr>
                <w:rFonts w:hint="eastAsia" w:ascii="宋体" w:hAnsi="宋体"/>
              </w:rPr>
              <w:t>凭证号码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snapToGrid w:val="0"/>
                <w:spacing w:val="14"/>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错误序号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存期类型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5"/>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存期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系统自动反显</w:t>
            </w:r>
          </w:p>
        </w:tc>
      </w:tr>
    </w:tbl>
    <w:p>
      <w:pPr>
        <w:pStyle w:val="4"/>
        <w:numPr>
          <w:ilvl w:val="2"/>
          <w:numId w:val="2"/>
        </w:numPr>
        <w:tabs>
          <w:tab w:val="left" w:pos="851"/>
        </w:tabs>
        <w:spacing w:before="0" w:after="0" w:line="240" w:lineRule="auto"/>
        <w:ind w:left="422" w:hanging="422"/>
        <w:rPr>
          <w:rFonts w:ascii="宋体" w:hAnsi="宋体"/>
          <w:sz w:val="21"/>
          <w:szCs w:val="21"/>
        </w:rPr>
      </w:pPr>
      <w:bookmarkStart w:id="11" w:name="_Toc364695016"/>
      <w:r>
        <w:rPr>
          <w:rFonts w:hint="eastAsia" w:ascii="宋体" w:hAnsi="宋体"/>
          <w:sz w:val="21"/>
          <w:szCs w:val="21"/>
        </w:rPr>
        <w:t>操作流程</w:t>
      </w:r>
      <w:bookmarkEnd w:id="11"/>
    </w:p>
    <w:p>
      <w:pPr>
        <w:pStyle w:val="9"/>
        <w:numPr>
          <w:ilvl w:val="0"/>
          <w:numId w:val="6"/>
        </w:numPr>
        <w:spacing w:after="0" w:line="240" w:lineRule="auto"/>
        <w:rPr>
          <w:rFonts w:ascii="宋体" w:hAnsi="宋体"/>
          <w:sz w:val="21"/>
          <w:szCs w:val="21"/>
        </w:rPr>
      </w:pPr>
      <w:r>
        <w:rPr>
          <w:rFonts w:hint="eastAsia" w:ascii="宋体" w:hAnsi="宋体"/>
          <w:sz w:val="21"/>
          <w:szCs w:val="21"/>
        </w:rPr>
        <w:t>柜员根据补开存折需要，启动批量补开存折交易（000011）。</w:t>
      </w:r>
    </w:p>
    <w:p>
      <w:pPr>
        <w:pStyle w:val="9"/>
        <w:numPr>
          <w:ilvl w:val="0"/>
          <w:numId w:val="6"/>
        </w:numPr>
        <w:spacing w:after="0" w:line="240" w:lineRule="auto"/>
        <w:rPr>
          <w:rFonts w:ascii="宋体" w:hAnsi="宋体"/>
          <w:sz w:val="21"/>
          <w:szCs w:val="21"/>
        </w:rPr>
      </w:pPr>
      <w:r>
        <w:rPr>
          <w:rFonts w:hint="eastAsia" w:ascii="宋体" w:hAnsi="宋体"/>
          <w:sz w:val="21"/>
          <w:szCs w:val="21"/>
        </w:rPr>
        <w:t>柜员按要求输入批次号、中间业务日期、中间业务编号、产品代码，系统会自动反显出凭证号码，输入错误序号，点击“提交”按钮，系统提示请刷活期储蓄存折，刷完折提示打印活期储蓄存折，交易处理成功。</w:t>
      </w:r>
    </w:p>
    <w:p>
      <w:pPr>
        <w:pStyle w:val="9"/>
        <w:numPr>
          <w:ilvl w:val="0"/>
          <w:numId w:val="6"/>
        </w:numPr>
        <w:spacing w:after="0" w:line="240" w:lineRule="auto"/>
        <w:rPr>
          <w:rFonts w:ascii="宋体" w:hAnsi="宋体"/>
          <w:sz w:val="21"/>
          <w:szCs w:val="21"/>
        </w:rPr>
      </w:pPr>
      <w:r>
        <w:rPr>
          <w:rFonts w:hint="eastAsia" w:ascii="宋体" w:hAnsi="宋体"/>
          <w:sz w:val="21"/>
          <w:szCs w:val="21"/>
        </w:rPr>
        <w:t>交易成功后，退出本交易。</w:t>
      </w:r>
    </w:p>
    <w:p>
      <w:pPr>
        <w:pStyle w:val="4"/>
        <w:numPr>
          <w:ilvl w:val="2"/>
          <w:numId w:val="2"/>
        </w:numPr>
        <w:tabs>
          <w:tab w:val="left" w:pos="851"/>
        </w:tabs>
        <w:spacing w:before="0" w:after="0" w:line="240" w:lineRule="auto"/>
        <w:ind w:left="422" w:hanging="422"/>
        <w:rPr>
          <w:rFonts w:ascii="宋体" w:hAnsi="宋体"/>
          <w:sz w:val="21"/>
          <w:szCs w:val="21"/>
        </w:rPr>
      </w:pPr>
      <w:bookmarkStart w:id="12" w:name="_Toc364695017"/>
      <w:r>
        <w:rPr>
          <w:rFonts w:hint="eastAsia" w:ascii="宋体" w:hAnsi="宋体"/>
          <w:sz w:val="21"/>
          <w:szCs w:val="21"/>
        </w:rPr>
        <w:t>注意事项</w:t>
      </w:r>
      <w:bookmarkEnd w:id="12"/>
    </w:p>
    <w:p>
      <w:pPr>
        <w:ind w:firstLine="315" w:firstLineChars="150"/>
        <w:rPr>
          <w:rFonts w:ascii="宋体" w:hAnsi="宋体"/>
        </w:rPr>
      </w:pPr>
      <w:r>
        <w:rPr>
          <w:rFonts w:hint="eastAsia" w:ascii="宋体" w:hAnsi="宋体"/>
        </w:rPr>
        <w:t xml:space="preserve"> 综合业务系统批量开折出现错误，在中间业务平台中会显示交易失败，查找出错误序号，可以进行补开存折。</w:t>
      </w:r>
    </w:p>
    <w:p>
      <w:pPr>
        <w:pStyle w:val="3"/>
        <w:tabs>
          <w:tab w:val="left" w:pos="1134"/>
        </w:tabs>
        <w:spacing w:line="240" w:lineRule="auto"/>
        <w:ind w:left="360" w:hanging="360"/>
        <w:rPr>
          <w:rFonts w:ascii="宋体" w:hAnsi="宋体"/>
          <w:szCs w:val="21"/>
        </w:rPr>
      </w:pPr>
      <w:r>
        <w:rPr>
          <w:rFonts w:hint="eastAsia" w:ascii="宋体" w:hAnsi="宋体"/>
        </w:rPr>
        <w:t>中间业务操作员授权员维护</w:t>
      </w:r>
    </w:p>
    <w:p>
      <w:pPr>
        <w:pStyle w:val="4"/>
        <w:tabs>
          <w:tab w:val="left" w:pos="1276"/>
        </w:tabs>
        <w:spacing w:before="0" w:after="0" w:line="240" w:lineRule="auto"/>
        <w:ind w:left="720" w:hanging="720"/>
        <w:rPr>
          <w:rFonts w:ascii="宋体" w:hAnsi="宋体"/>
          <w:sz w:val="21"/>
          <w:szCs w:val="21"/>
        </w:rPr>
      </w:pPr>
      <w:r>
        <w:rPr>
          <w:rFonts w:hint="eastAsia" w:ascii="宋体" w:hAnsi="宋体"/>
          <w:sz w:val="21"/>
          <w:szCs w:val="21"/>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97"/>
        <w:gridCol w:w="663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7"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32" w:type="dxa"/>
            <w:shd w:val="clear" w:color="auto" w:fill="auto"/>
            <w:vAlign w:val="center"/>
          </w:tcPr>
          <w:p>
            <w:pPr>
              <w:rPr>
                <w:rFonts w:ascii="宋体" w:hAnsi="宋体"/>
              </w:rPr>
            </w:pPr>
            <w:r>
              <w:rPr>
                <w:rFonts w:hint="eastAsia" w:ascii="宋体" w:hAnsi="宋体"/>
              </w:rPr>
              <w:t>中间业务操作员授权员维护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7"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32" w:type="dxa"/>
            <w:shd w:val="clear" w:color="auto" w:fill="auto"/>
            <w:vAlign w:val="center"/>
          </w:tcPr>
          <w:p>
            <w:pPr>
              <w:rPr>
                <w:rFonts w:ascii="宋体" w:hAnsi="宋体"/>
              </w:rPr>
            </w:pPr>
            <w:r>
              <w:rPr>
                <w:rFonts w:hint="eastAsia" w:ascii="宋体" w:hAnsi="宋体"/>
              </w:rPr>
              <w:t>860009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7" w:type="dxa"/>
            <w:shd w:val="clear" w:color="auto" w:fill="FABF8F"/>
            <w:vAlign w:val="center"/>
          </w:tcPr>
          <w:p>
            <w:pPr>
              <w:jc w:val="center"/>
              <w:rPr>
                <w:rFonts w:ascii="宋体" w:hAnsi="宋体"/>
              </w:rPr>
            </w:pPr>
            <w:r>
              <w:rPr>
                <w:rFonts w:ascii="宋体" w:hAnsi="宋体"/>
              </w:rPr>
              <w:t>功能说明</w:t>
            </w:r>
          </w:p>
        </w:tc>
        <w:tc>
          <w:tcPr>
            <w:tcW w:w="6632" w:type="dxa"/>
            <w:shd w:val="clear" w:color="auto" w:fill="auto"/>
            <w:vAlign w:val="center"/>
          </w:tcPr>
          <w:p>
            <w:pPr>
              <w:rPr>
                <w:rFonts w:ascii="宋体" w:hAnsi="宋体"/>
              </w:rPr>
            </w:pPr>
            <w:r>
              <w:rPr>
                <w:rFonts w:hint="eastAsia" w:ascii="宋体" w:hAnsi="宋体"/>
              </w:rPr>
              <w:t>本交易用于维护中间业务的操作员授权员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7" w:type="dxa"/>
            <w:shd w:val="clear" w:color="auto" w:fill="FABF8F"/>
            <w:vAlign w:val="center"/>
          </w:tcPr>
          <w:p>
            <w:pPr>
              <w:jc w:val="center"/>
              <w:rPr>
                <w:rFonts w:ascii="宋体" w:hAnsi="宋体"/>
              </w:rPr>
            </w:pPr>
            <w:r>
              <w:rPr>
                <w:rFonts w:ascii="宋体" w:hAnsi="宋体"/>
              </w:rPr>
              <w:t>操作机构</w:t>
            </w:r>
          </w:p>
        </w:tc>
        <w:tc>
          <w:tcPr>
            <w:tcW w:w="6632" w:type="dxa"/>
            <w:shd w:val="clear" w:color="auto" w:fill="auto"/>
            <w:vAlign w:val="center"/>
          </w:tcPr>
          <w:p>
            <w:pPr>
              <w:rPr>
                <w:rFonts w:ascii="宋体" w:hAnsi="宋体"/>
              </w:rPr>
            </w:pPr>
            <w:r>
              <w:rPr>
                <w:rFonts w:hint="eastAsia" w:ascii="宋体" w:hAnsi="宋体"/>
              </w:rPr>
              <w:t>核算机构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7" w:type="dxa"/>
            <w:shd w:val="clear" w:color="auto" w:fill="FABF8F"/>
            <w:vAlign w:val="center"/>
          </w:tcPr>
          <w:p>
            <w:pPr>
              <w:jc w:val="center"/>
              <w:rPr>
                <w:rFonts w:ascii="宋体" w:hAnsi="宋体"/>
              </w:rPr>
            </w:pPr>
            <w:r>
              <w:rPr>
                <w:rFonts w:ascii="宋体" w:hAnsi="宋体"/>
              </w:rPr>
              <w:t>操作角色</w:t>
            </w:r>
          </w:p>
        </w:tc>
        <w:tc>
          <w:tcPr>
            <w:tcW w:w="6632" w:type="dxa"/>
            <w:shd w:val="clear" w:color="auto" w:fill="auto"/>
            <w:vAlign w:val="center"/>
          </w:tcPr>
          <w:p>
            <w:pPr>
              <w:rPr>
                <w:rFonts w:ascii="宋体" w:hAnsi="宋体"/>
              </w:rPr>
            </w:pPr>
            <w:r>
              <w:rPr>
                <w:rFonts w:hint="eastAsia" w:ascii="宋体" w:hAnsi="宋体" w:cs="宋体"/>
              </w:rPr>
              <w:t>中间业务账务处理角色柜员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7" w:type="dxa"/>
            <w:shd w:val="clear" w:color="auto" w:fill="FABF8F"/>
            <w:vAlign w:val="center"/>
          </w:tcPr>
          <w:p>
            <w:pPr>
              <w:jc w:val="center"/>
              <w:rPr>
                <w:rFonts w:ascii="宋体" w:hAnsi="宋体"/>
              </w:rPr>
            </w:pPr>
            <w:r>
              <w:rPr>
                <w:rFonts w:ascii="宋体" w:hAnsi="宋体"/>
              </w:rPr>
              <w:t>授权/复核机构</w:t>
            </w:r>
          </w:p>
        </w:tc>
        <w:tc>
          <w:tcPr>
            <w:tcW w:w="6632" w:type="dxa"/>
            <w:shd w:val="clear" w:color="auto" w:fill="auto"/>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7" w:type="dxa"/>
            <w:shd w:val="clear" w:color="auto" w:fill="FABF8F"/>
            <w:vAlign w:val="center"/>
          </w:tcPr>
          <w:p>
            <w:pPr>
              <w:jc w:val="center"/>
              <w:rPr>
                <w:rFonts w:ascii="宋体" w:hAnsi="宋体"/>
              </w:rPr>
            </w:pPr>
            <w:r>
              <w:rPr>
                <w:rFonts w:ascii="宋体" w:hAnsi="宋体"/>
              </w:rPr>
              <w:t>授权/复核角色</w:t>
            </w:r>
          </w:p>
        </w:tc>
        <w:tc>
          <w:tcPr>
            <w:tcW w:w="6632" w:type="dxa"/>
            <w:shd w:val="clear" w:color="auto" w:fill="auto"/>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97" w:type="dxa"/>
            <w:shd w:val="clear" w:color="auto" w:fill="FABF8F"/>
            <w:vAlign w:val="center"/>
          </w:tcPr>
          <w:p>
            <w:pPr>
              <w:jc w:val="center"/>
              <w:rPr>
                <w:rFonts w:ascii="宋体" w:hAnsi="宋体"/>
              </w:rPr>
            </w:pPr>
            <w:r>
              <w:rPr>
                <w:rFonts w:hint="eastAsia" w:ascii="宋体" w:hAnsi="宋体"/>
              </w:rPr>
              <w:t>打印输出</w:t>
            </w:r>
          </w:p>
        </w:tc>
        <w:tc>
          <w:tcPr>
            <w:tcW w:w="6632" w:type="dxa"/>
            <w:shd w:val="clear" w:color="auto" w:fill="auto"/>
            <w:vAlign w:val="center"/>
          </w:tcPr>
          <w:p>
            <w:pPr>
              <w:pStyle w:val="25"/>
              <w:spacing w:line="240" w:lineRule="auto"/>
              <w:ind w:left="0" w:leftChars="0"/>
              <w:rPr>
                <w:rFonts w:ascii="宋体" w:hAnsi="宋体"/>
                <w:b w:val="0"/>
                <w:sz w:val="21"/>
                <w:szCs w:val="21"/>
              </w:rPr>
            </w:pPr>
            <w:r>
              <w:rPr>
                <w:rFonts w:hint="eastAsia" w:ascii="宋体" w:hAnsi="宋体"/>
                <w:b w:val="0"/>
                <w:sz w:val="21"/>
                <w:szCs w:val="21"/>
              </w:rPr>
              <w:t>无</w:t>
            </w:r>
          </w:p>
        </w:tc>
      </w:tr>
    </w:tbl>
    <w:p>
      <w:pPr>
        <w:pStyle w:val="4"/>
        <w:tabs>
          <w:tab w:val="left" w:pos="1276"/>
        </w:tabs>
        <w:spacing w:before="0" w:after="0" w:line="240" w:lineRule="auto"/>
        <w:ind w:left="720" w:hanging="720"/>
        <w:rPr>
          <w:rFonts w:ascii="宋体" w:hAnsi="宋体"/>
          <w:sz w:val="21"/>
          <w:szCs w:val="21"/>
        </w:rPr>
      </w:pPr>
      <w:r>
        <w:rPr>
          <w:rFonts w:hint="eastAsia" w:ascii="宋体" w:hAnsi="宋体"/>
          <w:sz w:val="21"/>
          <w:szCs w:val="21"/>
        </w:rPr>
        <w:t>操作界面及栏位说明</w:t>
      </w:r>
    </w:p>
    <w:p>
      <w:pPr>
        <w:rPr>
          <w:rFonts w:ascii="宋体" w:hAnsi="宋体"/>
          <w:b/>
          <w:kern w:val="0"/>
        </w:rPr>
      </w:pPr>
      <w:r>
        <w:rPr>
          <w:rFonts w:hint="eastAsia" w:ascii="宋体" w:hAnsi="宋体"/>
          <w:b/>
          <w:kern w:val="0"/>
        </w:rPr>
        <w:t>操作界面：</w:t>
      </w:r>
    </w:p>
    <w:p>
      <w:pPr>
        <w:rPr>
          <w:rFonts w:ascii="宋体" w:hAnsi="宋体"/>
        </w:rPr>
      </w:pPr>
      <w:r>
        <w:rPr>
          <w:rFonts w:ascii="宋体" w:hAnsi="宋体"/>
        </w:rPr>
        <w:drawing>
          <wp:inline distT="0" distB="0" distL="0" distR="0">
            <wp:extent cx="5271135" cy="4533900"/>
            <wp:effectExtent l="19050" t="0" r="5385"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9" cstate="print"/>
                    <a:srcRect/>
                    <a:stretch>
                      <a:fillRect/>
                    </a:stretch>
                  </pic:blipFill>
                  <pic:spPr>
                    <a:xfrm>
                      <a:off x="0" y="0"/>
                      <a:ext cx="5274310" cy="4536347"/>
                    </a:xfrm>
                    <a:prstGeom prst="rect">
                      <a:avLst/>
                    </a:prstGeom>
                    <a:noFill/>
                    <a:ln w="9525">
                      <a:noFill/>
                      <a:miter lim="800000"/>
                      <a:headEnd/>
                      <a:tailEnd/>
                    </a:ln>
                  </pic:spPr>
                </pic:pic>
              </a:graphicData>
            </a:graphic>
          </wp:inline>
        </w:drawing>
      </w:r>
    </w:p>
    <w:p>
      <w:pPr>
        <w:rPr>
          <w:rFonts w:ascii="宋体" w:hAnsi="宋体"/>
        </w:rPr>
      </w:pPr>
    </w:p>
    <w:p>
      <w:pPr>
        <w:rPr>
          <w:rFonts w:ascii="宋体" w:hAnsi="宋体"/>
        </w:rPr>
      </w:pPr>
    </w:p>
    <w:p>
      <w:pPr>
        <w:rPr>
          <w:rFonts w:ascii="宋体" w:hAnsi="宋体"/>
          <w:b/>
          <w:kern w:val="0"/>
        </w:rPr>
      </w:pPr>
      <w:r>
        <w:rPr>
          <w:rFonts w:hint="eastAsia" w:ascii="宋体" w:hAnsi="宋体"/>
          <w:b/>
          <w:kern w:val="0"/>
        </w:rPr>
        <w:t>栏位说明：</w:t>
      </w:r>
    </w:p>
    <w:tbl>
      <w:tblPr>
        <w:tblStyle w:val="14"/>
        <w:tblW w:w="9526"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559"/>
        <w:gridCol w:w="1370"/>
        <w:gridCol w:w="1134"/>
        <w:gridCol w:w="1134"/>
        <w:gridCol w:w="1040"/>
        <w:gridCol w:w="25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37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04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59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31"/>
              <w:numPr>
                <w:ilvl w:val="0"/>
                <w:numId w:val="7"/>
              </w:numPr>
              <w:spacing w:line="240" w:lineRule="auto"/>
              <w:jc w:val="center"/>
              <w:rPr>
                <w:rFonts w:ascii="宋体" w:hAnsi="宋体"/>
                <w:b/>
                <w:szCs w:val="21"/>
              </w:rPr>
            </w:pPr>
          </w:p>
        </w:tc>
        <w:tc>
          <w:tcPr>
            <w:tcW w:w="1559" w:type="dxa"/>
            <w:tcBorders>
              <w:top w:val="single" w:color="auto" w:sz="12" w:space="0"/>
            </w:tcBorders>
            <w:vAlign w:val="center"/>
          </w:tcPr>
          <w:p>
            <w:pPr>
              <w:jc w:val="left"/>
              <w:rPr>
                <w:rFonts w:ascii="宋体" w:hAnsi="宋体"/>
              </w:rPr>
            </w:pPr>
            <w:r>
              <w:rPr>
                <w:rFonts w:hint="eastAsia" w:ascii="宋体" w:hAnsi="宋体"/>
              </w:rPr>
              <w:t>维护类型</w:t>
            </w:r>
          </w:p>
        </w:tc>
        <w:tc>
          <w:tcPr>
            <w:tcW w:w="1370"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tcBorders>
            <w:vAlign w:val="center"/>
          </w:tcPr>
          <w:p>
            <w:pPr>
              <w:jc w:val="center"/>
              <w:rPr>
                <w:rFonts w:ascii="宋体" w:hAnsi="宋体"/>
              </w:rPr>
            </w:pPr>
            <w:r>
              <w:rPr>
                <w:rFonts w:hint="eastAsia" w:ascii="宋体" w:hAnsi="宋体" w:cs="宋体"/>
              </w:rPr>
              <w:t>字符型</w:t>
            </w:r>
          </w:p>
        </w:tc>
        <w:tc>
          <w:tcPr>
            <w:tcW w:w="1040" w:type="dxa"/>
            <w:tcBorders>
              <w:top w:val="single" w:color="auto" w:sz="12" w:space="0"/>
            </w:tcBorders>
            <w:vAlign w:val="center"/>
          </w:tcPr>
          <w:p>
            <w:pPr>
              <w:jc w:val="center"/>
              <w:rPr>
                <w:rFonts w:ascii="宋体" w:hAnsi="宋体"/>
              </w:rPr>
            </w:pPr>
          </w:p>
        </w:tc>
        <w:tc>
          <w:tcPr>
            <w:tcW w:w="2594" w:type="dxa"/>
            <w:tcBorders>
              <w:top w:val="single" w:color="auto" w:sz="12" w:space="0"/>
            </w:tcBorders>
            <w:vAlign w:val="center"/>
          </w:tcPr>
          <w:p>
            <w:pPr>
              <w:rPr>
                <w:rFonts w:ascii="宋体" w:hAnsi="宋体"/>
                <w:snapToGrid w:val="0"/>
                <w:kern w:val="0"/>
              </w:rPr>
            </w:pPr>
            <w:r>
              <w:rPr>
                <w:rFonts w:hint="eastAsia" w:ascii="宋体" w:hAnsi="宋体"/>
                <w:snapToGrid w:val="0"/>
                <w:kern w:val="0"/>
              </w:rPr>
              <w:t>必输项， 1-新增，2-删除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pStyle w:val="31"/>
              <w:numPr>
                <w:ilvl w:val="0"/>
                <w:numId w:val="7"/>
              </w:numPr>
              <w:spacing w:line="240" w:lineRule="auto"/>
              <w:ind w:left="422" w:hanging="422"/>
              <w:jc w:val="center"/>
              <w:rPr>
                <w:rFonts w:ascii="宋体" w:hAnsi="宋体"/>
                <w:b/>
                <w:szCs w:val="21"/>
              </w:rPr>
            </w:pPr>
          </w:p>
        </w:tc>
        <w:tc>
          <w:tcPr>
            <w:tcW w:w="1559" w:type="dxa"/>
            <w:vAlign w:val="center"/>
          </w:tcPr>
          <w:p>
            <w:pPr>
              <w:jc w:val="left"/>
              <w:rPr>
                <w:rFonts w:ascii="宋体" w:hAnsi="宋体"/>
                <w:snapToGrid w:val="0"/>
                <w:kern w:val="0"/>
              </w:rPr>
            </w:pPr>
            <w:r>
              <w:rPr>
                <w:rFonts w:hint="eastAsia" w:ascii="宋体" w:hAnsi="宋体"/>
                <w:snapToGrid w:val="0"/>
                <w:kern w:val="0"/>
              </w:rPr>
              <w:t>柜员类型</w:t>
            </w:r>
          </w:p>
        </w:tc>
        <w:tc>
          <w:tcPr>
            <w:tcW w:w="1370"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cs="宋体"/>
              </w:rPr>
              <w:t>字符型</w:t>
            </w:r>
          </w:p>
        </w:tc>
        <w:tc>
          <w:tcPr>
            <w:tcW w:w="1040" w:type="dxa"/>
            <w:vAlign w:val="center"/>
          </w:tcPr>
          <w:p>
            <w:pPr>
              <w:jc w:val="center"/>
              <w:rPr>
                <w:rFonts w:ascii="宋体" w:hAnsi="宋体"/>
              </w:rPr>
            </w:pPr>
          </w:p>
        </w:tc>
        <w:tc>
          <w:tcPr>
            <w:tcW w:w="2594" w:type="dxa"/>
            <w:vAlign w:val="center"/>
          </w:tcPr>
          <w:p>
            <w:pPr>
              <w:rPr>
                <w:rFonts w:ascii="宋体" w:hAnsi="宋体"/>
                <w:snapToGrid w:val="0"/>
                <w:spacing w:val="14"/>
                <w:kern w:val="0"/>
              </w:rPr>
            </w:pPr>
            <w:r>
              <w:rPr>
                <w:rFonts w:hint="eastAsia" w:ascii="宋体" w:hAnsi="宋体"/>
                <w:snapToGrid w:val="0"/>
                <w:spacing w:val="14"/>
                <w:kern w:val="0"/>
              </w:rPr>
              <w:t>必输项</w:t>
            </w:r>
          </w:p>
          <w:p>
            <w:pPr>
              <w:rPr>
                <w:rFonts w:ascii="宋体" w:hAnsi="宋体"/>
                <w:snapToGrid w:val="0"/>
                <w:spacing w:val="14"/>
                <w:kern w:val="0"/>
              </w:rPr>
            </w:pPr>
            <w:r>
              <w:rPr>
                <w:rFonts w:hint="eastAsia" w:ascii="宋体" w:hAnsi="宋体"/>
                <w:snapToGrid w:val="0"/>
                <w:spacing w:val="14"/>
                <w:kern w:val="0"/>
              </w:rPr>
              <w:t>ROLE_AD-授权员</w:t>
            </w:r>
          </w:p>
          <w:p>
            <w:pPr>
              <w:rPr>
                <w:rFonts w:ascii="宋体" w:hAnsi="宋体"/>
                <w:snapToGrid w:val="0"/>
                <w:spacing w:val="14"/>
                <w:kern w:val="0"/>
              </w:rPr>
            </w:pPr>
            <w:r>
              <w:rPr>
                <w:rFonts w:hint="eastAsia" w:ascii="宋体" w:hAnsi="宋体"/>
                <w:snapToGrid w:val="0"/>
                <w:spacing w:val="14"/>
                <w:kern w:val="0"/>
              </w:rPr>
              <w:t>ROLE_OPT-操作员</w:t>
            </w:r>
          </w:p>
          <w:p>
            <w:pPr>
              <w:rPr>
                <w:rFonts w:ascii="宋体" w:hAnsi="宋体"/>
                <w:snapToGrid w:val="0"/>
                <w:spacing w:val="14"/>
                <w:kern w:val="0"/>
              </w:rPr>
            </w:pPr>
            <w:r>
              <w:rPr>
                <w:rFonts w:hint="eastAsia" w:ascii="宋体" w:hAnsi="宋体"/>
                <w:snapToGrid w:val="0"/>
                <w:spacing w:val="14"/>
                <w:kern w:val="0"/>
              </w:rPr>
              <w:t>WEB_OPT-网银代发操作员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pStyle w:val="31"/>
              <w:numPr>
                <w:ilvl w:val="0"/>
                <w:numId w:val="7"/>
              </w:numPr>
              <w:spacing w:line="240" w:lineRule="auto"/>
              <w:ind w:left="422" w:hanging="422"/>
              <w:jc w:val="center"/>
              <w:rPr>
                <w:rFonts w:ascii="宋体" w:hAnsi="宋体"/>
                <w:b/>
                <w:szCs w:val="21"/>
              </w:rPr>
            </w:pPr>
          </w:p>
        </w:tc>
        <w:tc>
          <w:tcPr>
            <w:tcW w:w="1559" w:type="dxa"/>
            <w:vAlign w:val="center"/>
          </w:tcPr>
          <w:p>
            <w:pPr>
              <w:jc w:val="left"/>
              <w:rPr>
                <w:rFonts w:ascii="宋体" w:hAnsi="宋体"/>
                <w:snapToGrid w:val="0"/>
                <w:kern w:val="0"/>
              </w:rPr>
            </w:pPr>
            <w:r>
              <w:rPr>
                <w:rFonts w:hint="eastAsia" w:ascii="宋体" w:hAnsi="宋体"/>
              </w:rPr>
              <w:t>柜员号</w:t>
            </w:r>
          </w:p>
        </w:tc>
        <w:tc>
          <w:tcPr>
            <w:tcW w:w="1370"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1040" w:type="dxa"/>
            <w:vAlign w:val="center"/>
          </w:tcPr>
          <w:p>
            <w:pPr>
              <w:jc w:val="center"/>
              <w:rPr>
                <w:rFonts w:ascii="宋体" w:hAnsi="宋体"/>
              </w:rPr>
            </w:pPr>
          </w:p>
        </w:tc>
        <w:tc>
          <w:tcPr>
            <w:tcW w:w="2594" w:type="dxa"/>
            <w:vAlign w:val="center"/>
          </w:tcPr>
          <w:p>
            <w:pPr>
              <w:rPr>
                <w:rFonts w:ascii="宋体" w:hAnsi="宋体"/>
              </w:rPr>
            </w:pPr>
            <w:r>
              <w:rPr>
                <w:rFonts w:hint="eastAsia" w:ascii="宋体" w:hAnsi="宋体"/>
                <w:snapToGrid w:val="0"/>
                <w:kern w:val="0"/>
              </w:rPr>
              <w:t>必输项</w:t>
            </w:r>
          </w:p>
        </w:tc>
      </w:tr>
    </w:tbl>
    <w:p>
      <w:pPr>
        <w:pStyle w:val="4"/>
        <w:tabs>
          <w:tab w:val="left" w:pos="1276"/>
        </w:tabs>
        <w:spacing w:before="0" w:after="0" w:line="240" w:lineRule="auto"/>
        <w:ind w:left="720" w:hanging="720"/>
        <w:rPr>
          <w:rFonts w:ascii="宋体" w:hAnsi="宋体"/>
          <w:sz w:val="21"/>
          <w:szCs w:val="21"/>
        </w:rPr>
      </w:pPr>
      <w:r>
        <w:rPr>
          <w:rFonts w:hint="eastAsia" w:ascii="宋体" w:hAnsi="宋体"/>
          <w:sz w:val="21"/>
          <w:szCs w:val="21"/>
        </w:rPr>
        <w:t>操作流程</w:t>
      </w:r>
    </w:p>
    <w:p>
      <w:pPr>
        <w:rPr>
          <w:rFonts w:hint="eastAsia"/>
          <w:b/>
        </w:rPr>
      </w:pPr>
      <w:r>
        <w:rPr>
          <w:rFonts w:hint="eastAsia"/>
        </w:rPr>
        <w:t xml:space="preserve">  </w:t>
      </w:r>
      <w:r>
        <w:rPr>
          <w:rFonts w:hint="eastAsia"/>
          <w:b/>
        </w:rPr>
        <w:t>一，新增柜员</w:t>
      </w:r>
    </w:p>
    <w:p>
      <w:pPr>
        <w:pStyle w:val="9"/>
        <w:numPr>
          <w:ilvl w:val="0"/>
          <w:numId w:val="8"/>
        </w:numPr>
        <w:spacing w:after="0" w:line="240" w:lineRule="auto"/>
        <w:ind w:left="0" w:firstLine="420"/>
        <w:rPr>
          <w:rFonts w:ascii="宋体" w:hAnsi="宋体"/>
          <w:szCs w:val="21"/>
        </w:rPr>
      </w:pPr>
      <w:r>
        <w:rPr>
          <w:rFonts w:hint="eastAsia" w:ascii="宋体" w:hAnsi="宋体"/>
          <w:szCs w:val="21"/>
        </w:rPr>
        <w:t>柜员启动</w:t>
      </w:r>
      <w:r>
        <w:rPr>
          <w:rFonts w:hint="eastAsia" w:ascii="宋体" w:hAnsi="宋体"/>
        </w:rPr>
        <w:t>【860009】中间业务操作员授权员维护</w:t>
      </w:r>
      <w:r>
        <w:rPr>
          <w:rFonts w:hint="eastAsia" w:ascii="宋体" w:hAnsi="宋体"/>
          <w:szCs w:val="21"/>
        </w:rPr>
        <w:t>。</w:t>
      </w:r>
    </w:p>
    <w:p>
      <w:pPr>
        <w:pStyle w:val="9"/>
        <w:numPr>
          <w:ilvl w:val="0"/>
          <w:numId w:val="8"/>
        </w:numPr>
        <w:spacing w:after="0" w:line="240" w:lineRule="auto"/>
        <w:ind w:left="0" w:firstLine="420"/>
        <w:rPr>
          <w:rFonts w:ascii="宋体" w:hAnsi="宋体"/>
          <w:szCs w:val="21"/>
        </w:rPr>
      </w:pPr>
      <w:r>
        <w:rPr>
          <w:rFonts w:hint="eastAsia" w:ascii="宋体" w:hAnsi="宋体"/>
          <w:szCs w:val="21"/>
        </w:rPr>
        <w:t>柜员手工选择功能：1-新增，选择柜员类型，输入要新增的柜员号，点击提交后系统提示05级主管柜员授权。</w:t>
      </w:r>
    </w:p>
    <w:p>
      <w:pPr>
        <w:pStyle w:val="9"/>
        <w:numPr>
          <w:ilvl w:val="0"/>
          <w:numId w:val="8"/>
        </w:numPr>
        <w:spacing w:after="0" w:line="240" w:lineRule="auto"/>
        <w:ind w:left="0" w:firstLine="420"/>
        <w:rPr>
          <w:rFonts w:ascii="宋体" w:hAnsi="宋体"/>
          <w:szCs w:val="21"/>
        </w:rPr>
      </w:pPr>
      <w:r>
        <w:rPr>
          <w:rFonts w:hint="eastAsia" w:ascii="宋体" w:hAnsi="宋体"/>
          <w:szCs w:val="21"/>
        </w:rPr>
        <w:t>交易成功，退出本交易。</w:t>
      </w:r>
    </w:p>
    <w:p>
      <w:pPr>
        <w:pStyle w:val="9"/>
        <w:spacing w:after="0" w:line="240" w:lineRule="auto"/>
        <w:ind w:firstLine="105" w:firstLineChars="50"/>
        <w:rPr>
          <w:rFonts w:ascii="宋体" w:hAnsi="宋体"/>
          <w:b/>
          <w:sz w:val="21"/>
          <w:szCs w:val="21"/>
        </w:rPr>
      </w:pPr>
      <w:r>
        <w:rPr>
          <w:rFonts w:hint="eastAsia" w:ascii="宋体" w:hAnsi="宋体"/>
          <w:b/>
          <w:sz w:val="21"/>
          <w:szCs w:val="21"/>
        </w:rPr>
        <w:t>二，删除柜员</w:t>
      </w:r>
    </w:p>
    <w:p>
      <w:pPr>
        <w:pStyle w:val="9"/>
        <w:numPr>
          <w:ilvl w:val="0"/>
          <w:numId w:val="9"/>
        </w:numPr>
        <w:spacing w:after="0" w:line="240" w:lineRule="auto"/>
        <w:ind w:left="0" w:firstLine="420"/>
        <w:rPr>
          <w:rFonts w:ascii="宋体" w:hAnsi="宋体"/>
          <w:szCs w:val="21"/>
        </w:rPr>
      </w:pPr>
      <w:r>
        <w:rPr>
          <w:rFonts w:hint="eastAsia" w:ascii="宋体" w:hAnsi="宋体"/>
          <w:szCs w:val="21"/>
        </w:rPr>
        <w:t>柜员启动</w:t>
      </w:r>
      <w:r>
        <w:rPr>
          <w:rFonts w:hint="eastAsia" w:ascii="宋体" w:hAnsi="宋体"/>
        </w:rPr>
        <w:t>【860009】中间业务操作员授权员维护</w:t>
      </w:r>
      <w:r>
        <w:rPr>
          <w:rFonts w:hint="eastAsia" w:ascii="宋体" w:hAnsi="宋体"/>
          <w:szCs w:val="21"/>
        </w:rPr>
        <w:t>。</w:t>
      </w:r>
    </w:p>
    <w:p>
      <w:pPr>
        <w:pStyle w:val="9"/>
        <w:numPr>
          <w:ilvl w:val="0"/>
          <w:numId w:val="9"/>
        </w:numPr>
        <w:spacing w:after="0" w:line="240" w:lineRule="auto"/>
        <w:ind w:left="0" w:firstLine="420"/>
        <w:rPr>
          <w:rFonts w:ascii="宋体" w:hAnsi="宋体"/>
          <w:szCs w:val="21"/>
        </w:rPr>
      </w:pPr>
      <w:r>
        <w:rPr>
          <w:rFonts w:hint="eastAsia" w:ascii="宋体" w:hAnsi="宋体"/>
          <w:szCs w:val="21"/>
        </w:rPr>
        <w:t>柜员手工选择功能：2-删除，选择柜员类型，输入要删除的柜员号，点击提交后系统提示05级主管柜员授权。</w:t>
      </w:r>
    </w:p>
    <w:p>
      <w:pPr>
        <w:pStyle w:val="9"/>
        <w:numPr>
          <w:ilvl w:val="0"/>
          <w:numId w:val="9"/>
        </w:numPr>
        <w:spacing w:after="0" w:line="240" w:lineRule="auto"/>
        <w:ind w:left="0" w:firstLine="420"/>
        <w:rPr>
          <w:rFonts w:ascii="宋体" w:hAnsi="宋体"/>
          <w:szCs w:val="21"/>
        </w:rPr>
      </w:pPr>
      <w:r>
        <w:rPr>
          <w:rFonts w:hint="eastAsia" w:ascii="宋体" w:hAnsi="宋体"/>
          <w:szCs w:val="21"/>
        </w:rPr>
        <w:t>交易成功，退出本交易。</w:t>
      </w:r>
    </w:p>
    <w:p>
      <w:pPr>
        <w:pStyle w:val="4"/>
        <w:tabs>
          <w:tab w:val="left" w:pos="1276"/>
        </w:tabs>
        <w:spacing w:before="0" w:after="0" w:line="240" w:lineRule="auto"/>
        <w:ind w:left="720" w:hanging="720"/>
        <w:rPr>
          <w:rFonts w:ascii="宋体" w:hAnsi="宋体"/>
          <w:sz w:val="21"/>
          <w:szCs w:val="21"/>
        </w:rPr>
      </w:pPr>
      <w:r>
        <w:rPr>
          <w:rFonts w:hint="eastAsia" w:ascii="宋体" w:hAnsi="宋体"/>
          <w:sz w:val="21"/>
          <w:szCs w:val="21"/>
        </w:rPr>
        <w:t>注意事项</w:t>
      </w:r>
    </w:p>
    <w:p>
      <w:pPr>
        <w:pStyle w:val="9"/>
        <w:numPr>
          <w:ilvl w:val="0"/>
          <w:numId w:val="10"/>
        </w:numPr>
        <w:spacing w:after="0" w:line="240" w:lineRule="auto"/>
        <w:ind w:left="0" w:firstLine="420"/>
        <w:rPr>
          <w:rFonts w:ascii="宋体" w:hAnsi="宋体"/>
          <w:szCs w:val="21"/>
        </w:rPr>
      </w:pPr>
      <w:r>
        <w:rPr>
          <w:rFonts w:hint="eastAsia" w:ascii="宋体" w:hAnsi="宋体"/>
          <w:szCs w:val="21"/>
        </w:rPr>
        <w:t>只有核算有权限做此交易，可维护辖内任一网点任一柜员号。不允许跨核算机构维护。</w:t>
      </w:r>
    </w:p>
    <w:p>
      <w:pPr>
        <w:pStyle w:val="9"/>
        <w:numPr>
          <w:ilvl w:val="0"/>
          <w:numId w:val="10"/>
        </w:numPr>
        <w:spacing w:after="0" w:line="240" w:lineRule="auto"/>
        <w:ind w:left="0" w:firstLine="420"/>
        <w:rPr>
          <w:rFonts w:ascii="宋体" w:hAnsi="宋体"/>
          <w:szCs w:val="21"/>
        </w:rPr>
      </w:pPr>
      <w:r>
        <w:rPr>
          <w:rFonts w:hint="eastAsia" w:ascii="宋体" w:hAnsi="宋体"/>
          <w:szCs w:val="21"/>
        </w:rPr>
        <w:t>同一柜员允许被维护多种柜员类型。</w:t>
      </w:r>
    </w:p>
    <w:p>
      <w:pPr>
        <w:pStyle w:val="9"/>
        <w:numPr>
          <w:ilvl w:val="0"/>
          <w:numId w:val="10"/>
        </w:numPr>
        <w:spacing w:after="0" w:line="240" w:lineRule="auto"/>
        <w:ind w:left="0" w:firstLine="420"/>
        <w:rPr>
          <w:rFonts w:ascii="宋体" w:hAnsi="宋体"/>
          <w:szCs w:val="21"/>
        </w:rPr>
      </w:pPr>
      <w:r>
        <w:rPr>
          <w:rFonts w:hint="eastAsia" w:ascii="宋体" w:hAnsi="宋体"/>
          <w:szCs w:val="21"/>
        </w:rPr>
        <w:t>进行删除时，选择任一柜员类型，即可完成柜员的删除操作。</w:t>
      </w:r>
    </w:p>
    <w:p>
      <w:pPr>
        <w:pStyle w:val="9"/>
        <w:numPr>
          <w:ilvl w:val="0"/>
          <w:numId w:val="10"/>
        </w:numPr>
        <w:spacing w:after="0" w:line="240" w:lineRule="auto"/>
        <w:ind w:left="0" w:firstLine="420"/>
        <w:rPr>
          <w:rFonts w:ascii="宋体" w:hAnsi="宋体"/>
          <w:szCs w:val="21"/>
        </w:rPr>
      </w:pPr>
      <w:r>
        <w:rPr>
          <w:rFonts w:hint="eastAsia" w:ascii="宋体" w:hAnsi="宋体"/>
          <w:szCs w:val="21"/>
        </w:rPr>
        <w:t>前期通过后台添加的柜员可通过本交易删除。</w:t>
      </w:r>
    </w:p>
    <w:p>
      <w:pPr>
        <w:rPr>
          <w:rFonts w:hint="eastAsia"/>
        </w:rPr>
      </w:pPr>
    </w:p>
    <w:p>
      <w:pPr>
        <w:pStyle w:val="3"/>
        <w:numPr>
          <w:ilvl w:val="1"/>
          <w:numId w:val="2"/>
        </w:numPr>
        <w:tabs>
          <w:tab w:val="left" w:pos="567"/>
        </w:tabs>
        <w:spacing w:line="240" w:lineRule="auto"/>
        <w:ind w:left="422" w:hanging="422"/>
        <w:rPr>
          <w:rFonts w:ascii="宋体" w:hAnsi="宋体"/>
          <w:sz w:val="21"/>
          <w:szCs w:val="21"/>
        </w:rPr>
      </w:pPr>
      <w:r>
        <w:rPr>
          <w:rFonts w:hint="eastAsia" w:ascii="宋体" w:hAnsi="宋体"/>
          <w:sz w:val="21"/>
          <w:szCs w:val="21"/>
        </w:rPr>
        <w:t>查询打印</w:t>
      </w:r>
    </w:p>
    <w:p>
      <w:pPr>
        <w:pStyle w:val="4"/>
        <w:rPr>
          <w:rFonts w:hint="eastAsia"/>
          <w:sz w:val="21"/>
          <w:szCs w:val="21"/>
        </w:rPr>
      </w:pPr>
      <w:r>
        <w:rPr>
          <w:rFonts w:hint="eastAsia"/>
          <w:sz w:val="21"/>
          <w:szCs w:val="21"/>
        </w:rPr>
        <w:t>主机对账状态查询</w:t>
      </w:r>
    </w:p>
    <w:p>
      <w:pPr>
        <w:pStyle w:val="5"/>
      </w:pP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主机对账状态查询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670006</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本交易用于查询主机对账状态。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中间业务账务处理角色柜员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82"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25"/>
              <w:spacing w:line="240" w:lineRule="auto"/>
              <w:ind w:left="0" w:leftChars="0"/>
              <w:rPr>
                <w:rFonts w:ascii="宋体" w:hAnsi="宋体"/>
                <w:b w:val="0"/>
                <w:sz w:val="21"/>
                <w:szCs w:val="21"/>
              </w:rPr>
            </w:pPr>
            <w:r>
              <w:rPr>
                <w:rFonts w:hint="eastAsia" w:ascii="宋体" w:hAnsi="宋体"/>
                <w:b w:val="0"/>
                <w:sz w:val="21"/>
                <w:szCs w:val="21"/>
              </w:rPr>
              <w:t>无</w:t>
            </w:r>
          </w:p>
        </w:tc>
      </w:tr>
    </w:tbl>
    <w:p>
      <w:pPr>
        <w:rPr>
          <w:rFonts w:hint="eastAsia"/>
        </w:rPr>
      </w:pPr>
    </w:p>
    <w:p>
      <w:pPr>
        <w:pStyle w:val="5"/>
      </w:pPr>
      <w:r>
        <w:rPr>
          <w:rFonts w:hint="eastAsia"/>
        </w:rPr>
        <w:t>操作界面及栏位说明</w:t>
      </w:r>
    </w:p>
    <w:p>
      <w:pPr>
        <w:rPr>
          <w:rFonts w:hint="eastAsia"/>
          <w:b/>
        </w:rPr>
      </w:pPr>
      <w:r>
        <w:rPr>
          <w:rFonts w:hint="eastAsia"/>
          <w:b/>
        </w:rPr>
        <w:t>操作界面：</w:t>
      </w:r>
    </w:p>
    <w:p>
      <w:pPr>
        <w:rPr>
          <w:rFonts w:hint="eastAsia"/>
        </w:rPr>
      </w:pPr>
      <w:r>
        <w:rPr>
          <w:rFonts w:hint="eastAsia"/>
        </w:rPr>
        <w:drawing>
          <wp:inline distT="0" distB="0" distL="0" distR="0">
            <wp:extent cx="5274310" cy="3719830"/>
            <wp:effectExtent l="1905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10" cstate="print"/>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hint="eastAsia"/>
          <w:b/>
        </w:rPr>
      </w:pPr>
      <w:r>
        <w:rPr>
          <w:rFonts w:hint="eastAsia"/>
          <w:b/>
        </w:rPr>
        <w:t>栏位说明：</w:t>
      </w:r>
    </w:p>
    <w:tbl>
      <w:tblPr>
        <w:tblStyle w:val="14"/>
        <w:tblW w:w="849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134"/>
        <w:gridCol w:w="850"/>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1"/>
              </w:numPr>
              <w:jc w:val="center"/>
              <w:rPr>
                <w:rFonts w:ascii="宋体" w:hAnsi="宋体"/>
                <w:b/>
                <w:kern w:val="0"/>
              </w:rPr>
            </w:pP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对账日期</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850"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系统当期日期</w:t>
            </w:r>
          </w:p>
        </w:tc>
        <w:tc>
          <w:tcPr>
            <w:tcW w:w="226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1"/>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业务编号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必输项</w:t>
            </w:r>
          </w:p>
        </w:tc>
      </w:tr>
    </w:tbl>
    <w:p>
      <w:pPr>
        <w:rPr>
          <w:rFonts w:hint="eastAsia"/>
          <w:b/>
        </w:rPr>
      </w:pPr>
    </w:p>
    <w:p>
      <w:pPr>
        <w:pStyle w:val="5"/>
        <w:ind w:left="0" w:firstLine="0"/>
      </w:pPr>
      <w:r>
        <w:rPr>
          <w:rFonts w:hint="eastAsia"/>
        </w:rPr>
        <w:t>操作流程</w:t>
      </w:r>
    </w:p>
    <w:p>
      <w:pPr>
        <w:pStyle w:val="9"/>
        <w:numPr>
          <w:ilvl w:val="0"/>
          <w:numId w:val="12"/>
        </w:numPr>
        <w:spacing w:after="0" w:line="240" w:lineRule="auto"/>
        <w:rPr>
          <w:rFonts w:ascii="宋体" w:hAnsi="宋体"/>
          <w:sz w:val="21"/>
          <w:szCs w:val="21"/>
        </w:rPr>
      </w:pPr>
      <w:r>
        <w:rPr>
          <w:rFonts w:hint="eastAsia" w:ascii="宋体" w:hAnsi="宋体"/>
          <w:sz w:val="21"/>
          <w:szCs w:val="21"/>
        </w:rPr>
        <w:t>柜员根据中间业务对账需要，启动主机对账状态查询（670006）。</w:t>
      </w:r>
    </w:p>
    <w:p>
      <w:pPr>
        <w:pStyle w:val="9"/>
        <w:numPr>
          <w:ilvl w:val="0"/>
          <w:numId w:val="12"/>
        </w:numPr>
        <w:spacing w:after="0" w:line="240" w:lineRule="auto"/>
        <w:rPr>
          <w:rFonts w:ascii="宋体" w:hAnsi="宋体"/>
          <w:sz w:val="21"/>
          <w:szCs w:val="21"/>
        </w:rPr>
      </w:pPr>
      <w:r>
        <w:rPr>
          <w:rFonts w:hint="eastAsia" w:ascii="宋体" w:hAnsi="宋体"/>
          <w:sz w:val="21"/>
          <w:szCs w:val="21"/>
        </w:rPr>
        <w:t>柜员输入对账日期，选择业务编号，点击“提交”按钮。</w:t>
      </w:r>
    </w:p>
    <w:p>
      <w:pPr>
        <w:pStyle w:val="9"/>
        <w:numPr>
          <w:ilvl w:val="0"/>
          <w:numId w:val="12"/>
        </w:numPr>
        <w:tabs>
          <w:tab w:val="left" w:pos="851"/>
          <w:tab w:val="clear" w:pos="840"/>
        </w:tabs>
        <w:spacing w:after="0" w:line="240" w:lineRule="auto"/>
        <w:rPr>
          <w:rFonts w:ascii="宋体" w:hAnsi="宋体"/>
          <w:sz w:val="21"/>
          <w:szCs w:val="21"/>
        </w:rPr>
      </w:pPr>
      <w:r>
        <w:rPr>
          <w:rFonts w:hint="eastAsia" w:ascii="宋体" w:hAnsi="宋体"/>
          <w:sz w:val="21"/>
          <w:szCs w:val="21"/>
        </w:rPr>
        <w:t>交易成功后，退出本交易。</w:t>
      </w:r>
    </w:p>
    <w:p>
      <w:pPr>
        <w:pStyle w:val="4"/>
        <w:rPr>
          <w:rFonts w:hint="eastAsia"/>
          <w:sz w:val="21"/>
          <w:szCs w:val="21"/>
        </w:rPr>
      </w:pPr>
      <w:r>
        <w:rPr>
          <w:rFonts w:hint="eastAsia"/>
          <w:sz w:val="21"/>
          <w:szCs w:val="21"/>
        </w:rPr>
        <w:t>主机对账不平查询</w:t>
      </w:r>
    </w:p>
    <w:p>
      <w:pPr>
        <w:pStyle w:val="5"/>
      </w:pP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主机对账不平查询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670009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本交易用于查询主机对账不平的情况。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中间业务账务处理角色柜员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82"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25"/>
              <w:spacing w:line="240" w:lineRule="auto"/>
              <w:ind w:left="0" w:leftChars="0"/>
              <w:rPr>
                <w:rFonts w:ascii="宋体" w:hAnsi="宋体"/>
                <w:b w:val="0"/>
                <w:sz w:val="21"/>
                <w:szCs w:val="21"/>
              </w:rPr>
            </w:pPr>
            <w:r>
              <w:rPr>
                <w:rFonts w:hint="eastAsia" w:ascii="宋体" w:hAnsi="宋体"/>
                <w:b w:val="0"/>
                <w:sz w:val="21"/>
                <w:szCs w:val="21"/>
              </w:rPr>
              <w:t>无</w:t>
            </w:r>
          </w:p>
        </w:tc>
      </w:tr>
    </w:tbl>
    <w:p>
      <w:pPr>
        <w:rPr>
          <w:rFonts w:hint="eastAsia"/>
        </w:rPr>
      </w:pPr>
    </w:p>
    <w:p>
      <w:pPr>
        <w:pStyle w:val="5"/>
      </w:pPr>
      <w:r>
        <w:rPr>
          <w:rFonts w:hint="eastAsia"/>
        </w:rPr>
        <w:t>操作界面及栏位说明</w:t>
      </w:r>
    </w:p>
    <w:p>
      <w:pPr>
        <w:rPr>
          <w:rFonts w:hint="eastAsia"/>
          <w:b/>
        </w:rPr>
      </w:pPr>
      <w:r>
        <w:rPr>
          <w:rFonts w:hint="eastAsia"/>
          <w:b/>
        </w:rPr>
        <w:t>操作界面：</w:t>
      </w:r>
    </w:p>
    <w:p>
      <w:pPr>
        <w:rPr>
          <w:rFonts w:hint="eastAsia"/>
        </w:rPr>
      </w:pPr>
      <w:r>
        <w:rPr>
          <w:rFonts w:hint="eastAsia"/>
        </w:rPr>
        <w:drawing>
          <wp:inline distT="0" distB="0" distL="0" distR="0">
            <wp:extent cx="5274310" cy="3730625"/>
            <wp:effectExtent l="1905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1" cstate="print"/>
                    <a:srcRect/>
                    <a:stretch>
                      <a:fillRect/>
                    </a:stretch>
                  </pic:blipFill>
                  <pic:spPr>
                    <a:xfrm>
                      <a:off x="0" y="0"/>
                      <a:ext cx="5274310" cy="3730762"/>
                    </a:xfrm>
                    <a:prstGeom prst="rect">
                      <a:avLst/>
                    </a:prstGeom>
                    <a:noFill/>
                    <a:ln w="9525">
                      <a:noFill/>
                      <a:miter lim="800000"/>
                      <a:headEnd/>
                      <a:tailEnd/>
                    </a:ln>
                  </pic:spPr>
                </pic:pic>
              </a:graphicData>
            </a:graphic>
          </wp:inline>
        </w:drawing>
      </w:r>
    </w:p>
    <w:p>
      <w:pPr>
        <w:rPr>
          <w:rFonts w:hint="eastAsia"/>
          <w:b/>
        </w:rPr>
      </w:pPr>
      <w:r>
        <w:rPr>
          <w:rFonts w:hint="eastAsia"/>
          <w:b/>
        </w:rPr>
        <w:t>栏位说明：</w:t>
      </w:r>
    </w:p>
    <w:tbl>
      <w:tblPr>
        <w:tblStyle w:val="14"/>
        <w:tblW w:w="849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134"/>
        <w:gridCol w:w="850"/>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491" w:type="dxa"/>
            <w:gridSpan w:val="7"/>
            <w:tcBorders>
              <w:top w:val="single" w:color="auto" w:sz="12" w:space="0"/>
              <w:left w:val="single" w:color="auto" w:sz="12" w:space="0"/>
              <w:bottom w:val="single" w:color="auto" w:sz="6" w:space="0"/>
              <w:right w:val="single" w:color="auto" w:sz="12" w:space="0"/>
            </w:tcBorders>
            <w:vAlign w:val="center"/>
          </w:tcPr>
          <w:p>
            <w:pPr>
              <w:jc w:val="center"/>
              <w:rPr>
                <w:rFonts w:ascii="宋体" w:hAnsi="宋体"/>
                <w:b/>
                <w:snapToGrid w:val="0"/>
                <w:kern w:val="0"/>
              </w:rPr>
            </w:pPr>
            <w:r>
              <w:rPr>
                <w:rFonts w:hint="eastAsia" w:ascii="宋体" w:hAnsi="宋体"/>
                <w:b/>
                <w:snapToGrid w:val="0"/>
                <w:kern w:val="0"/>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3"/>
              </w:numPr>
              <w:jc w:val="center"/>
              <w:rPr>
                <w:rFonts w:ascii="宋体" w:hAnsi="宋体"/>
                <w:b/>
                <w:kern w:val="0"/>
              </w:rPr>
            </w:pP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业务编号</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3"/>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核对查询日期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8491" w:type="dxa"/>
            <w:gridSpan w:val="7"/>
            <w:tcBorders>
              <w:top w:val="single" w:color="auto" w:sz="6" w:space="0"/>
              <w:left w:val="single" w:color="auto" w:sz="12" w:space="0"/>
              <w:bottom w:val="single" w:color="auto" w:sz="6" w:space="0"/>
              <w:right w:val="single" w:color="auto" w:sz="12" w:space="0"/>
            </w:tcBorders>
            <w:vAlign w:val="center"/>
          </w:tcPr>
          <w:p>
            <w:pPr>
              <w:jc w:val="center"/>
              <w:rPr>
                <w:rFonts w:ascii="宋体" w:hAnsi="宋体"/>
                <w:b/>
                <w:snapToGrid w:val="0"/>
                <w:kern w:val="0"/>
              </w:rPr>
            </w:pPr>
            <w:r>
              <w:rPr>
                <w:rFonts w:hint="eastAsia" w:ascii="宋体" w:hAnsi="宋体"/>
                <w:b/>
                <w:snapToGrid w:val="0"/>
                <w:kern w:val="0"/>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4"/>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主机日期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4"/>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中间业务日期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4"/>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记账机构</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4"/>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记账柜员</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4"/>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中间业务流水号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4"/>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主机流水号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4"/>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交易金额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4"/>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主机记账状态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4"/>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中间业务记账状态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bl>
    <w:p>
      <w:pPr>
        <w:pStyle w:val="5"/>
        <w:ind w:left="0" w:firstLine="0"/>
      </w:pPr>
      <w:r>
        <w:rPr>
          <w:rFonts w:hint="eastAsia"/>
        </w:rPr>
        <w:t>操作流程</w:t>
      </w:r>
    </w:p>
    <w:p>
      <w:pPr>
        <w:pStyle w:val="9"/>
        <w:numPr>
          <w:ilvl w:val="0"/>
          <w:numId w:val="15"/>
        </w:numPr>
        <w:spacing w:after="0" w:line="240" w:lineRule="auto"/>
        <w:rPr>
          <w:rFonts w:ascii="宋体" w:hAnsi="宋体"/>
          <w:sz w:val="21"/>
          <w:szCs w:val="21"/>
        </w:rPr>
      </w:pPr>
      <w:r>
        <w:rPr>
          <w:rFonts w:hint="eastAsia" w:ascii="宋体" w:hAnsi="宋体"/>
          <w:sz w:val="21"/>
          <w:szCs w:val="21"/>
        </w:rPr>
        <w:t>柜员如要查询中间业务对账不平时，启动主机对账不平查询（670006）。</w:t>
      </w:r>
    </w:p>
    <w:p>
      <w:pPr>
        <w:pStyle w:val="9"/>
        <w:numPr>
          <w:ilvl w:val="0"/>
          <w:numId w:val="15"/>
        </w:numPr>
        <w:spacing w:after="0" w:line="240" w:lineRule="auto"/>
        <w:rPr>
          <w:rFonts w:ascii="宋体" w:hAnsi="宋体"/>
          <w:sz w:val="21"/>
          <w:szCs w:val="21"/>
        </w:rPr>
      </w:pPr>
      <w:r>
        <w:rPr>
          <w:rFonts w:hint="eastAsia" w:ascii="宋体" w:hAnsi="宋体"/>
          <w:sz w:val="21"/>
          <w:szCs w:val="21"/>
        </w:rPr>
        <w:t>柜员选择业务编号，输入对账日期，点击“提交”按钮。</w:t>
      </w:r>
    </w:p>
    <w:p>
      <w:pPr>
        <w:pStyle w:val="9"/>
        <w:numPr>
          <w:ilvl w:val="0"/>
          <w:numId w:val="15"/>
        </w:numPr>
        <w:spacing w:after="0" w:line="240" w:lineRule="auto"/>
        <w:rPr>
          <w:rFonts w:ascii="宋体" w:hAnsi="宋体"/>
          <w:sz w:val="21"/>
          <w:szCs w:val="21"/>
        </w:rPr>
      </w:pPr>
      <w:r>
        <w:rPr>
          <w:rFonts w:hint="eastAsia" w:ascii="宋体" w:hAnsi="宋体"/>
          <w:sz w:val="21"/>
          <w:szCs w:val="21"/>
        </w:rPr>
        <w:t>查询结果框里会显示多条记录，点击“S”可查看详细信息。</w:t>
      </w:r>
    </w:p>
    <w:p>
      <w:pPr>
        <w:pStyle w:val="9"/>
        <w:numPr>
          <w:ilvl w:val="0"/>
          <w:numId w:val="15"/>
        </w:numPr>
        <w:spacing w:after="0" w:line="240" w:lineRule="auto"/>
        <w:rPr>
          <w:rFonts w:ascii="宋体" w:hAnsi="宋体"/>
          <w:sz w:val="21"/>
          <w:szCs w:val="21"/>
        </w:rPr>
      </w:pPr>
      <w:r>
        <w:rPr>
          <w:rFonts w:hint="eastAsia" w:ascii="宋体" w:hAnsi="宋体"/>
          <w:sz w:val="21"/>
          <w:szCs w:val="21"/>
        </w:rPr>
        <w:t>交易成功后，退出本交易。</w:t>
      </w:r>
    </w:p>
    <w:p>
      <w:pPr>
        <w:pStyle w:val="4"/>
        <w:rPr>
          <w:rFonts w:hint="eastAsia"/>
          <w:sz w:val="21"/>
          <w:szCs w:val="21"/>
        </w:rPr>
      </w:pPr>
      <w:r>
        <w:rPr>
          <w:rFonts w:hint="eastAsia"/>
          <w:sz w:val="21"/>
          <w:szCs w:val="21"/>
        </w:rPr>
        <w:t>流水查询</w:t>
      </w:r>
    </w:p>
    <w:p>
      <w:pPr>
        <w:pStyle w:val="5"/>
      </w:pP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流水查询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670009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本交易用于流水查询。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中间业务账务处理角色柜员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82"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25"/>
              <w:spacing w:line="240" w:lineRule="auto"/>
              <w:ind w:left="0" w:leftChars="0"/>
              <w:rPr>
                <w:rFonts w:ascii="宋体" w:hAnsi="宋体"/>
                <w:b w:val="0"/>
                <w:sz w:val="21"/>
                <w:szCs w:val="21"/>
              </w:rPr>
            </w:pPr>
            <w:r>
              <w:rPr>
                <w:rFonts w:hint="eastAsia" w:ascii="宋体" w:hAnsi="宋体"/>
                <w:b w:val="0"/>
                <w:sz w:val="21"/>
                <w:szCs w:val="21"/>
              </w:rPr>
              <w:t>无</w:t>
            </w:r>
          </w:p>
        </w:tc>
      </w:tr>
    </w:tbl>
    <w:p>
      <w:pPr>
        <w:rPr>
          <w:rFonts w:hint="eastAsia"/>
        </w:rPr>
      </w:pPr>
    </w:p>
    <w:p>
      <w:pPr>
        <w:pStyle w:val="5"/>
      </w:pPr>
      <w:r>
        <w:rPr>
          <w:rFonts w:hint="eastAsia"/>
        </w:rPr>
        <w:t>操作界面及栏位说明</w:t>
      </w:r>
    </w:p>
    <w:p>
      <w:pPr>
        <w:rPr>
          <w:rFonts w:hint="eastAsia"/>
          <w:b/>
        </w:rPr>
      </w:pPr>
      <w:r>
        <w:rPr>
          <w:rFonts w:hint="eastAsia"/>
          <w:b/>
        </w:rPr>
        <w:t>操作界面：</w:t>
      </w:r>
    </w:p>
    <w:p>
      <w:pPr>
        <w:rPr>
          <w:rFonts w:hint="eastAsia"/>
        </w:rPr>
      </w:pPr>
      <w:r>
        <w:rPr>
          <w:rFonts w:hint="eastAsia"/>
        </w:rPr>
        <w:drawing>
          <wp:inline distT="0" distB="0" distL="0" distR="0">
            <wp:extent cx="5274310" cy="3719830"/>
            <wp:effectExtent l="19050" t="0" r="254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noChangeArrowheads="1"/>
                    </pic:cNvPicPr>
                  </pic:nvPicPr>
                  <pic:blipFill>
                    <a:blip r:embed="rId12" cstate="print"/>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hint="eastAsia"/>
          <w:b/>
        </w:rPr>
      </w:pPr>
      <w:r>
        <w:rPr>
          <w:rFonts w:hint="eastAsia"/>
          <w:b/>
        </w:rPr>
        <w:t>栏位说明：</w:t>
      </w:r>
    </w:p>
    <w:tbl>
      <w:tblPr>
        <w:tblStyle w:val="14"/>
        <w:tblW w:w="849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134"/>
        <w:gridCol w:w="850"/>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6"/>
              </w:numPr>
              <w:jc w:val="center"/>
              <w:rPr>
                <w:rFonts w:ascii="宋体" w:hAnsi="宋体"/>
                <w:b/>
                <w:kern w:val="0"/>
              </w:rPr>
            </w:pP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起始日期</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85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截止日期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6"/>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业务编号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p>
        </w:tc>
      </w:tr>
    </w:tbl>
    <w:p>
      <w:pPr>
        <w:pStyle w:val="5"/>
        <w:ind w:left="0" w:firstLine="0"/>
      </w:pPr>
      <w:r>
        <w:rPr>
          <w:rFonts w:hint="eastAsia"/>
        </w:rPr>
        <w:t>操作流程</w:t>
      </w:r>
    </w:p>
    <w:p>
      <w:pPr>
        <w:pStyle w:val="9"/>
        <w:numPr>
          <w:ilvl w:val="0"/>
          <w:numId w:val="17"/>
        </w:numPr>
        <w:spacing w:after="0" w:line="240" w:lineRule="auto"/>
        <w:rPr>
          <w:rFonts w:ascii="宋体" w:hAnsi="宋体"/>
          <w:sz w:val="21"/>
          <w:szCs w:val="21"/>
        </w:rPr>
      </w:pPr>
      <w:r>
        <w:rPr>
          <w:rFonts w:hint="eastAsia" w:ascii="宋体" w:hAnsi="宋体"/>
          <w:sz w:val="21"/>
          <w:szCs w:val="21"/>
        </w:rPr>
        <w:t>柜员进行中间业务流水查询时，启动流水查询（679020）。</w:t>
      </w:r>
    </w:p>
    <w:p>
      <w:pPr>
        <w:pStyle w:val="9"/>
        <w:numPr>
          <w:ilvl w:val="0"/>
          <w:numId w:val="17"/>
        </w:numPr>
        <w:spacing w:after="0" w:line="240" w:lineRule="auto"/>
        <w:rPr>
          <w:rFonts w:ascii="宋体" w:hAnsi="宋体"/>
          <w:sz w:val="21"/>
          <w:szCs w:val="21"/>
        </w:rPr>
      </w:pPr>
      <w:r>
        <w:rPr>
          <w:rFonts w:hint="eastAsia" w:ascii="宋体" w:hAnsi="宋体"/>
          <w:sz w:val="21"/>
          <w:szCs w:val="21"/>
        </w:rPr>
        <w:t>柜员输入起始日期和截止日期，点击“提交”按钮。</w:t>
      </w:r>
    </w:p>
    <w:p>
      <w:pPr>
        <w:pStyle w:val="9"/>
        <w:numPr>
          <w:ilvl w:val="0"/>
          <w:numId w:val="17"/>
        </w:numPr>
        <w:spacing w:after="0" w:line="240" w:lineRule="auto"/>
        <w:rPr>
          <w:rFonts w:ascii="宋体" w:hAnsi="宋体"/>
          <w:sz w:val="21"/>
          <w:szCs w:val="21"/>
        </w:rPr>
      </w:pPr>
      <w:r>
        <w:rPr>
          <w:rFonts w:hint="eastAsia" w:ascii="宋体" w:hAnsi="宋体"/>
          <w:sz w:val="21"/>
          <w:szCs w:val="21"/>
        </w:rPr>
        <w:t>查询结果框里会显示多条记录，点击“S”可查看详细信息。</w:t>
      </w:r>
    </w:p>
    <w:p>
      <w:pPr>
        <w:pStyle w:val="9"/>
        <w:numPr>
          <w:ilvl w:val="0"/>
          <w:numId w:val="17"/>
        </w:numPr>
        <w:spacing w:after="0" w:line="240" w:lineRule="auto"/>
        <w:rPr>
          <w:rFonts w:ascii="宋体" w:hAnsi="宋体"/>
          <w:sz w:val="21"/>
          <w:szCs w:val="21"/>
        </w:rPr>
      </w:pPr>
      <w:r>
        <w:rPr>
          <w:rFonts w:hint="eastAsia" w:ascii="宋体" w:hAnsi="宋体"/>
          <w:sz w:val="21"/>
          <w:szCs w:val="21"/>
        </w:rPr>
        <w:t>交易成功后，退出本交易。</w:t>
      </w:r>
    </w:p>
    <w:p>
      <w:pPr>
        <w:pStyle w:val="4"/>
        <w:rPr>
          <w:rFonts w:hint="eastAsia"/>
          <w:sz w:val="21"/>
          <w:szCs w:val="21"/>
        </w:rPr>
      </w:pPr>
      <w:r>
        <w:rPr>
          <w:rFonts w:hint="eastAsia"/>
          <w:sz w:val="21"/>
          <w:szCs w:val="21"/>
        </w:rPr>
        <w:t>协议登记簿查询</w:t>
      </w:r>
    </w:p>
    <w:p>
      <w:pPr>
        <w:pStyle w:val="5"/>
      </w:pP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协议登记簿查询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679021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本交易用于中间业务</w:t>
            </w:r>
            <w:r>
              <w:rPr>
                <w:rFonts w:hint="eastAsia" w:ascii="宋体" w:hAnsi="宋体"/>
              </w:rPr>
              <w:t>协议</w:t>
            </w:r>
            <w:r>
              <w:rPr>
                <w:rFonts w:hint="eastAsia" w:ascii="宋体" w:hAnsi="宋体"/>
                <w:kern w:val="0"/>
              </w:rPr>
              <w:t>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中间业务账务处理角色柜员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82"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25"/>
              <w:spacing w:line="240" w:lineRule="auto"/>
              <w:ind w:left="0" w:leftChars="0"/>
              <w:rPr>
                <w:rFonts w:ascii="宋体" w:hAnsi="宋体"/>
                <w:b w:val="0"/>
                <w:sz w:val="21"/>
                <w:szCs w:val="21"/>
              </w:rPr>
            </w:pPr>
            <w:r>
              <w:rPr>
                <w:rFonts w:hint="eastAsia" w:ascii="宋体" w:hAnsi="宋体"/>
                <w:b w:val="0"/>
                <w:sz w:val="21"/>
                <w:szCs w:val="21"/>
              </w:rPr>
              <w:t>无</w:t>
            </w:r>
          </w:p>
        </w:tc>
      </w:tr>
    </w:tbl>
    <w:p>
      <w:pPr>
        <w:rPr>
          <w:rFonts w:hint="eastAsia"/>
        </w:rPr>
      </w:pPr>
    </w:p>
    <w:p>
      <w:pPr>
        <w:pStyle w:val="5"/>
      </w:pPr>
      <w:r>
        <w:rPr>
          <w:rFonts w:hint="eastAsia"/>
        </w:rPr>
        <w:t>操作界面及栏位说明</w:t>
      </w:r>
    </w:p>
    <w:p>
      <w:pPr>
        <w:rPr>
          <w:rFonts w:hint="eastAsia"/>
          <w:b/>
        </w:rPr>
      </w:pPr>
      <w:r>
        <w:rPr>
          <w:rFonts w:hint="eastAsia"/>
          <w:b/>
        </w:rPr>
        <w:t>操作界面：</w:t>
      </w:r>
    </w:p>
    <w:p>
      <w:pPr>
        <w:rPr>
          <w:rFonts w:hint="eastAsia"/>
        </w:rPr>
      </w:pPr>
      <w:r>
        <w:rPr>
          <w:rFonts w:hint="eastAsia"/>
        </w:rPr>
        <w:drawing>
          <wp:inline distT="0" distB="0" distL="0" distR="0">
            <wp:extent cx="5274310" cy="3717925"/>
            <wp:effectExtent l="19050" t="0" r="254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13" cstate="print"/>
                    <a:srcRect/>
                    <a:stretch>
                      <a:fillRect/>
                    </a:stretch>
                  </pic:blipFill>
                  <pic:spPr>
                    <a:xfrm>
                      <a:off x="0" y="0"/>
                      <a:ext cx="5274310" cy="3718264"/>
                    </a:xfrm>
                    <a:prstGeom prst="rect">
                      <a:avLst/>
                    </a:prstGeom>
                    <a:noFill/>
                    <a:ln w="9525">
                      <a:noFill/>
                      <a:miter lim="800000"/>
                      <a:headEnd/>
                      <a:tailEnd/>
                    </a:ln>
                  </pic:spPr>
                </pic:pic>
              </a:graphicData>
            </a:graphic>
          </wp:inline>
        </w:drawing>
      </w:r>
    </w:p>
    <w:p>
      <w:pPr>
        <w:rPr>
          <w:rFonts w:hint="eastAsia"/>
          <w:b/>
        </w:rPr>
      </w:pPr>
      <w:r>
        <w:rPr>
          <w:rFonts w:hint="eastAsia"/>
          <w:b/>
        </w:rPr>
        <w:t>栏位说明：</w:t>
      </w:r>
    </w:p>
    <w:tbl>
      <w:tblPr>
        <w:tblStyle w:val="14"/>
        <w:tblW w:w="849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134"/>
        <w:gridCol w:w="850"/>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18"/>
              </w:numPr>
              <w:jc w:val="center"/>
              <w:rPr>
                <w:rFonts w:ascii="宋体" w:hAnsi="宋体"/>
                <w:b/>
                <w:kern w:val="0"/>
              </w:rPr>
            </w:pP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起始日期</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85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8"/>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截止日期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日期型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8"/>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业务编号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18"/>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协议状态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选输</w:t>
            </w:r>
          </w:p>
        </w:tc>
      </w:tr>
    </w:tbl>
    <w:p>
      <w:pPr>
        <w:pStyle w:val="5"/>
        <w:ind w:left="0" w:firstLine="0"/>
      </w:pPr>
      <w:r>
        <w:rPr>
          <w:rFonts w:hint="eastAsia"/>
        </w:rPr>
        <w:t>操作流程</w:t>
      </w:r>
    </w:p>
    <w:p>
      <w:pPr>
        <w:pStyle w:val="9"/>
        <w:numPr>
          <w:ilvl w:val="0"/>
          <w:numId w:val="19"/>
        </w:numPr>
        <w:spacing w:after="0" w:line="240" w:lineRule="auto"/>
        <w:rPr>
          <w:rFonts w:ascii="宋体" w:hAnsi="宋体"/>
          <w:sz w:val="21"/>
          <w:szCs w:val="21"/>
        </w:rPr>
      </w:pPr>
      <w:r>
        <w:rPr>
          <w:rFonts w:hint="eastAsia" w:ascii="宋体" w:hAnsi="宋体"/>
          <w:sz w:val="21"/>
          <w:szCs w:val="21"/>
        </w:rPr>
        <w:t>柜员进行中间业务协议查询时，启动协议登记簿查询（679021）。</w:t>
      </w:r>
    </w:p>
    <w:p>
      <w:pPr>
        <w:pStyle w:val="9"/>
        <w:numPr>
          <w:ilvl w:val="0"/>
          <w:numId w:val="19"/>
        </w:numPr>
        <w:spacing w:after="0" w:line="240" w:lineRule="auto"/>
        <w:rPr>
          <w:rFonts w:ascii="宋体" w:hAnsi="宋体"/>
          <w:sz w:val="21"/>
          <w:szCs w:val="21"/>
        </w:rPr>
      </w:pPr>
      <w:r>
        <w:rPr>
          <w:rFonts w:hint="eastAsia" w:ascii="宋体" w:hAnsi="宋体"/>
          <w:sz w:val="21"/>
          <w:szCs w:val="21"/>
        </w:rPr>
        <w:t>柜员输入起始日期和截止日期，选择业务编号和协议状态，点击“提交”按钮。</w:t>
      </w:r>
    </w:p>
    <w:p>
      <w:pPr>
        <w:pStyle w:val="9"/>
        <w:numPr>
          <w:ilvl w:val="0"/>
          <w:numId w:val="19"/>
        </w:numPr>
        <w:spacing w:after="0" w:line="240" w:lineRule="auto"/>
        <w:rPr>
          <w:rFonts w:ascii="宋体" w:hAnsi="宋体"/>
          <w:sz w:val="21"/>
          <w:szCs w:val="21"/>
        </w:rPr>
      </w:pPr>
      <w:r>
        <w:rPr>
          <w:rFonts w:hint="eastAsia" w:ascii="宋体" w:hAnsi="宋体"/>
          <w:sz w:val="21"/>
          <w:szCs w:val="21"/>
        </w:rPr>
        <w:t>查询结果框里会显示多条记录，点击“S”可查看详细信息。</w:t>
      </w:r>
    </w:p>
    <w:p>
      <w:pPr>
        <w:pStyle w:val="9"/>
        <w:numPr>
          <w:ilvl w:val="0"/>
          <w:numId w:val="19"/>
        </w:numPr>
        <w:spacing w:after="0" w:line="240" w:lineRule="auto"/>
        <w:rPr>
          <w:rFonts w:ascii="宋体" w:hAnsi="宋体"/>
          <w:sz w:val="21"/>
          <w:szCs w:val="21"/>
        </w:rPr>
      </w:pPr>
      <w:r>
        <w:rPr>
          <w:rFonts w:hint="eastAsia" w:ascii="宋体" w:hAnsi="宋体"/>
          <w:sz w:val="21"/>
          <w:szCs w:val="21"/>
        </w:rPr>
        <w:t>交易成功后，退出本交易。</w:t>
      </w:r>
    </w:p>
    <w:p>
      <w:pPr>
        <w:pStyle w:val="4"/>
        <w:rPr>
          <w:rFonts w:hint="eastAsia"/>
          <w:sz w:val="21"/>
          <w:szCs w:val="21"/>
        </w:rPr>
      </w:pPr>
      <w:r>
        <w:rPr>
          <w:rFonts w:hint="eastAsia"/>
          <w:sz w:val="21"/>
          <w:szCs w:val="21"/>
        </w:rPr>
        <w:t>签约信息查询</w:t>
      </w:r>
    </w:p>
    <w:p>
      <w:pPr>
        <w:pStyle w:val="5"/>
      </w:pPr>
      <w:r>
        <w:rPr>
          <w:rFonts w:hint="eastAsia"/>
        </w:rPr>
        <w:t>基本信息</w:t>
      </w:r>
    </w:p>
    <w:tbl>
      <w:tblPr>
        <w:tblStyle w:val="14"/>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签约信息查询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679022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kern w:val="0"/>
              </w:rPr>
              <w:t>本交易用于中间业务</w:t>
            </w:r>
            <w:r>
              <w:rPr>
                <w:rFonts w:hint="eastAsia" w:ascii="宋体" w:hAnsi="宋体"/>
              </w:rPr>
              <w:t>签约信息</w:t>
            </w:r>
            <w:r>
              <w:rPr>
                <w:rFonts w:hint="eastAsia" w:ascii="宋体" w:hAnsi="宋体"/>
                <w:kern w:val="0"/>
              </w:rPr>
              <w:t>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中间业务账务处理角色柜员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82"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25"/>
              <w:spacing w:line="240" w:lineRule="auto"/>
              <w:ind w:left="0" w:leftChars="0"/>
              <w:rPr>
                <w:rFonts w:ascii="宋体" w:hAnsi="宋体"/>
                <w:b w:val="0"/>
                <w:sz w:val="21"/>
                <w:szCs w:val="21"/>
              </w:rPr>
            </w:pPr>
            <w:r>
              <w:rPr>
                <w:rFonts w:hint="eastAsia" w:ascii="宋体" w:hAnsi="宋体"/>
                <w:b w:val="0"/>
                <w:sz w:val="21"/>
                <w:szCs w:val="21"/>
              </w:rPr>
              <w:t>无</w:t>
            </w:r>
          </w:p>
        </w:tc>
      </w:tr>
    </w:tbl>
    <w:p>
      <w:pPr>
        <w:rPr>
          <w:rFonts w:hint="eastAsia"/>
        </w:rPr>
      </w:pPr>
    </w:p>
    <w:p>
      <w:pPr>
        <w:pStyle w:val="5"/>
      </w:pPr>
      <w:r>
        <w:rPr>
          <w:rFonts w:hint="eastAsia"/>
        </w:rPr>
        <w:t>操作界面及栏位说明</w:t>
      </w:r>
    </w:p>
    <w:p>
      <w:pPr>
        <w:rPr>
          <w:rFonts w:hint="eastAsia"/>
          <w:b/>
        </w:rPr>
      </w:pPr>
      <w:r>
        <w:rPr>
          <w:rFonts w:hint="eastAsia"/>
          <w:b/>
        </w:rPr>
        <w:t>操作界面：</w:t>
      </w:r>
    </w:p>
    <w:p>
      <w:pPr>
        <w:rPr>
          <w:rFonts w:hint="eastAsia"/>
        </w:rPr>
      </w:pPr>
      <w:r>
        <w:rPr>
          <w:rFonts w:hint="eastAsia"/>
        </w:rPr>
        <w:drawing>
          <wp:inline distT="0" distB="0" distL="0" distR="0">
            <wp:extent cx="5274310" cy="3704590"/>
            <wp:effectExtent l="19050" t="0" r="254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14" cstate="print"/>
                    <a:srcRect/>
                    <a:stretch>
                      <a:fillRect/>
                    </a:stretch>
                  </pic:blipFill>
                  <pic:spPr>
                    <a:xfrm>
                      <a:off x="0" y="0"/>
                      <a:ext cx="5274310" cy="3705094"/>
                    </a:xfrm>
                    <a:prstGeom prst="rect">
                      <a:avLst/>
                    </a:prstGeom>
                    <a:noFill/>
                    <a:ln w="9525">
                      <a:noFill/>
                      <a:miter lim="800000"/>
                      <a:headEnd/>
                      <a:tailEnd/>
                    </a:ln>
                  </pic:spPr>
                </pic:pic>
              </a:graphicData>
            </a:graphic>
          </wp:inline>
        </w:drawing>
      </w:r>
    </w:p>
    <w:p>
      <w:pPr>
        <w:rPr>
          <w:rFonts w:hint="eastAsia"/>
        </w:rPr>
      </w:pPr>
    </w:p>
    <w:p>
      <w:pPr>
        <w:rPr>
          <w:rFonts w:hint="eastAsia"/>
        </w:rPr>
      </w:pPr>
    </w:p>
    <w:p>
      <w:pPr>
        <w:rPr>
          <w:rFonts w:hint="eastAsia"/>
          <w:b/>
        </w:rPr>
      </w:pPr>
      <w:r>
        <w:rPr>
          <w:rFonts w:hint="eastAsia"/>
          <w:b/>
        </w:rPr>
        <w:t>栏位说明：</w:t>
      </w:r>
    </w:p>
    <w:tbl>
      <w:tblPr>
        <w:tblStyle w:val="14"/>
        <w:tblW w:w="849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134"/>
        <w:gridCol w:w="1276"/>
        <w:gridCol w:w="1134"/>
        <w:gridCol w:w="1134"/>
        <w:gridCol w:w="850"/>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491" w:type="dxa"/>
            <w:gridSpan w:val="7"/>
            <w:tcBorders>
              <w:top w:val="single" w:color="auto" w:sz="12" w:space="0"/>
              <w:left w:val="single" w:color="auto" w:sz="12" w:space="0"/>
              <w:bottom w:val="single" w:color="auto" w:sz="6" w:space="0"/>
              <w:right w:val="single" w:color="auto" w:sz="12" w:space="0"/>
            </w:tcBorders>
            <w:vAlign w:val="center"/>
          </w:tcPr>
          <w:p>
            <w:pPr>
              <w:jc w:val="center"/>
              <w:rPr>
                <w:rFonts w:ascii="宋体" w:hAnsi="宋体"/>
                <w:b/>
                <w:snapToGrid w:val="0"/>
                <w:kern w:val="0"/>
              </w:rPr>
            </w:pPr>
            <w:r>
              <w:rPr>
                <w:rFonts w:hint="eastAsia" w:ascii="宋体" w:hAnsi="宋体"/>
                <w:b/>
                <w:snapToGrid w:val="0"/>
                <w:kern w:val="0"/>
              </w:rPr>
              <w:t>输入条件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账号/卡号</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85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必输项，刷卡或手工输入账号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业务编号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0"/>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用户编号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8491" w:type="dxa"/>
            <w:gridSpan w:val="7"/>
            <w:tcBorders>
              <w:top w:val="single" w:color="auto" w:sz="6" w:space="0"/>
              <w:left w:val="single" w:color="auto" w:sz="12" w:space="0"/>
              <w:bottom w:val="single" w:color="auto" w:sz="6" w:space="0"/>
              <w:right w:val="single" w:color="auto" w:sz="12" w:space="0"/>
            </w:tcBorders>
            <w:vAlign w:val="center"/>
          </w:tcPr>
          <w:p>
            <w:pPr>
              <w:jc w:val="center"/>
              <w:rPr>
                <w:rFonts w:ascii="宋体" w:hAnsi="宋体"/>
                <w:b/>
                <w:snapToGrid w:val="0"/>
                <w:kern w:val="0"/>
              </w:rPr>
            </w:pPr>
            <w:r>
              <w:rPr>
                <w:rFonts w:hint="eastAsia" w:ascii="宋体" w:hAnsi="宋体"/>
                <w:b/>
                <w:snapToGrid w:val="0"/>
                <w:kern w:val="0"/>
              </w:rPr>
              <w:t>返回结果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1"/>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协议编号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1"/>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业务名称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1"/>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用户编号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tcBorders>
              <w:top w:val="single" w:color="auto" w:sz="6" w:space="0"/>
              <w:left w:val="single" w:color="auto" w:sz="12" w:space="0"/>
              <w:bottom w:val="single" w:color="auto" w:sz="6" w:space="0"/>
              <w:right w:val="single" w:color="auto" w:sz="6" w:space="0"/>
            </w:tcBorders>
            <w:vAlign w:val="center"/>
          </w:tcPr>
          <w:p>
            <w:pPr>
              <w:numPr>
                <w:ilvl w:val="0"/>
                <w:numId w:val="21"/>
              </w:numPr>
              <w:jc w:val="center"/>
              <w:rPr>
                <w:rFonts w:ascii="宋体" w:hAnsi="宋体"/>
                <w:b/>
                <w:kern w:val="0"/>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用户名称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bl>
    <w:p>
      <w:pPr>
        <w:pStyle w:val="5"/>
        <w:ind w:left="0" w:firstLine="0"/>
      </w:pPr>
      <w:r>
        <w:rPr>
          <w:rFonts w:hint="eastAsia"/>
        </w:rPr>
        <w:t>操作流程</w:t>
      </w:r>
    </w:p>
    <w:p>
      <w:pPr>
        <w:pStyle w:val="9"/>
        <w:numPr>
          <w:ilvl w:val="0"/>
          <w:numId w:val="22"/>
        </w:numPr>
        <w:spacing w:after="0" w:line="240" w:lineRule="auto"/>
        <w:rPr>
          <w:rFonts w:ascii="宋体" w:hAnsi="宋体"/>
          <w:sz w:val="21"/>
          <w:szCs w:val="21"/>
        </w:rPr>
      </w:pPr>
      <w:r>
        <w:rPr>
          <w:rFonts w:hint="eastAsia" w:ascii="宋体" w:hAnsi="宋体"/>
          <w:sz w:val="21"/>
          <w:szCs w:val="21"/>
        </w:rPr>
        <w:t>柜员需要中间业务签约信息查询时，启动签约信息查询（679022）。</w:t>
      </w:r>
    </w:p>
    <w:p>
      <w:pPr>
        <w:pStyle w:val="9"/>
        <w:numPr>
          <w:ilvl w:val="0"/>
          <w:numId w:val="22"/>
        </w:numPr>
        <w:spacing w:after="0" w:line="240" w:lineRule="auto"/>
        <w:rPr>
          <w:rFonts w:ascii="宋体" w:hAnsi="宋体"/>
          <w:sz w:val="21"/>
          <w:szCs w:val="21"/>
        </w:rPr>
      </w:pPr>
      <w:r>
        <w:rPr>
          <w:rFonts w:hint="eastAsia" w:ascii="宋体" w:hAnsi="宋体"/>
          <w:sz w:val="21"/>
          <w:szCs w:val="21"/>
        </w:rPr>
        <w:t>柜员输入账号或者刷卡，反显业务编号和用户编号，点击“提交”按钮。</w:t>
      </w:r>
    </w:p>
    <w:p>
      <w:pPr>
        <w:pStyle w:val="9"/>
        <w:numPr>
          <w:ilvl w:val="0"/>
          <w:numId w:val="22"/>
        </w:numPr>
        <w:spacing w:after="0" w:line="240" w:lineRule="auto"/>
        <w:rPr>
          <w:rFonts w:ascii="宋体" w:hAnsi="宋体"/>
          <w:sz w:val="21"/>
          <w:szCs w:val="21"/>
        </w:rPr>
      </w:pPr>
      <w:r>
        <w:rPr>
          <w:rFonts w:hint="eastAsia" w:ascii="宋体" w:hAnsi="宋体"/>
          <w:sz w:val="21"/>
          <w:szCs w:val="21"/>
        </w:rPr>
        <w:t>查询结果框里会显示多条记录，点击“S”可查看详细信息。</w:t>
      </w:r>
    </w:p>
    <w:p>
      <w:pPr>
        <w:pStyle w:val="9"/>
        <w:numPr>
          <w:ilvl w:val="0"/>
          <w:numId w:val="22"/>
        </w:numPr>
        <w:spacing w:after="0" w:line="240" w:lineRule="auto"/>
        <w:rPr>
          <w:rFonts w:ascii="宋体" w:hAnsi="宋体"/>
          <w:sz w:val="21"/>
          <w:szCs w:val="21"/>
        </w:rPr>
      </w:pPr>
      <w:r>
        <w:rPr>
          <w:rFonts w:hint="eastAsia" w:ascii="宋体" w:hAnsi="宋体"/>
          <w:sz w:val="21"/>
          <w:szCs w:val="21"/>
        </w:rPr>
        <w:t>交易成功后，退出本交易。</w:t>
      </w:r>
    </w:p>
    <w:p>
      <w:pPr>
        <w:rPr>
          <w:rFonts w:hint="eastAsia"/>
        </w:rPr>
      </w:pPr>
    </w:p>
    <w:p>
      <w:pPr>
        <w:pStyle w:val="9"/>
        <w:tabs>
          <w:tab w:val="left" w:pos="851"/>
        </w:tabs>
        <w:spacing w:after="0" w:line="240" w:lineRule="auto"/>
        <w:rPr>
          <w:rFonts w:ascii="宋体" w:hAnsi="宋体"/>
          <w:sz w:val="21"/>
          <w:szCs w:val="21"/>
        </w:rPr>
      </w:pPr>
    </w:p>
    <w:sectPr>
      <w:headerReference r:id="rId3" w:type="default"/>
      <w:head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left" w:pos="885"/>
      </w:tabs>
      <w:jc w:val="left"/>
      <w:rPr>
        <w:rFonts w:hint="eastAsia"/>
      </w:rPr>
    </w:pPr>
    <w:r>
      <w:drawing>
        <wp:inline distT="0" distB="0" distL="0" distR="0">
          <wp:extent cx="1952625" cy="2438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65590" cy="245699"/>
                  </a:xfrm>
                  <a:prstGeom prst="rect">
                    <a:avLst/>
                  </a:prstGeom>
                </pic:spPr>
              </pic:pic>
            </a:graphicData>
          </a:graphic>
        </wp:inline>
      </w:drawing>
    </w:r>
    <w:r>
      <w:tab/>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rFonts w:hint="eastAsia"/>
      </w:rPr>
    </w:pPr>
    <w:r>
      <w:rPr>
        <w:rFonts w:hint="eastAsia"/>
      </w:rPr>
      <w:t>村镇银行柜面业务系统操作手册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6247C"/>
    <w:multiLevelType w:val="multilevel"/>
    <w:tmpl w:val="07E6247C"/>
    <w:lvl w:ilvl="0" w:tentative="0">
      <w:start w:val="1"/>
      <w:numFmt w:val="decimal"/>
      <w:lvlText w:val="%1."/>
      <w:lvlJc w:val="left"/>
      <w:pPr>
        <w:ind w:left="845" w:hanging="845"/>
      </w:pPr>
      <w:rPr>
        <w:rFonts w:hint="eastAsia"/>
      </w:rPr>
    </w:lvl>
    <w:lvl w:ilvl="1" w:tentative="0">
      <w:start w:val="1"/>
      <w:numFmt w:val="decimal"/>
      <w:lvlText w:val="%1.%2."/>
      <w:lvlJc w:val="left"/>
      <w:pPr>
        <w:ind w:left="845" w:hanging="425"/>
      </w:pPr>
      <w:rPr>
        <w:rFonts w:hint="eastAsia"/>
      </w:rPr>
    </w:lvl>
    <w:lvl w:ilvl="2" w:tentative="0">
      <w:start w:val="1"/>
      <w:numFmt w:val="decimal"/>
      <w:lvlText w:val="%1.%2.%3."/>
      <w:lvlJc w:val="left"/>
      <w:pPr>
        <w:ind w:left="845" w:hanging="425"/>
      </w:pPr>
      <w:rPr>
        <w:rFonts w:hint="eastAsia"/>
      </w:rPr>
    </w:lvl>
    <w:lvl w:ilvl="3" w:tentative="0">
      <w:start w:val="1"/>
      <w:numFmt w:val="decimal"/>
      <w:lvlText w:val="%1.%2.%3.%4."/>
      <w:lvlJc w:val="left"/>
      <w:pPr>
        <w:ind w:left="845" w:hanging="425"/>
      </w:pPr>
      <w:rPr>
        <w:rFonts w:hint="eastAsia"/>
      </w:rPr>
    </w:lvl>
    <w:lvl w:ilvl="4" w:tentative="0">
      <w:start w:val="1"/>
      <w:numFmt w:val="decimal"/>
      <w:lvlText w:val="%1.%2.%3.%4.%5."/>
      <w:lvlJc w:val="left"/>
      <w:pPr>
        <w:ind w:left="845" w:hanging="425"/>
      </w:pPr>
      <w:rPr>
        <w:rFonts w:hint="eastAsia"/>
      </w:rPr>
    </w:lvl>
    <w:lvl w:ilvl="5" w:tentative="0">
      <w:start w:val="1"/>
      <w:numFmt w:val="decimal"/>
      <w:lvlText w:val="%1.%2.%3.%4.%5.%6."/>
      <w:lvlJc w:val="left"/>
      <w:pPr>
        <w:ind w:left="845" w:hanging="425"/>
      </w:pPr>
      <w:rPr>
        <w:rFonts w:hint="eastAsia"/>
      </w:rPr>
    </w:lvl>
    <w:lvl w:ilvl="6" w:tentative="0">
      <w:start w:val="1"/>
      <w:numFmt w:val="decimal"/>
      <w:lvlText w:val="%1.%2.%3.%4.%5.%6.%7."/>
      <w:lvlJc w:val="left"/>
      <w:pPr>
        <w:ind w:left="845" w:hanging="425"/>
      </w:pPr>
      <w:rPr>
        <w:rFonts w:hint="eastAsia"/>
      </w:rPr>
    </w:lvl>
    <w:lvl w:ilvl="7" w:tentative="0">
      <w:start w:val="1"/>
      <w:numFmt w:val="decimal"/>
      <w:lvlText w:val="%1.%2.%3.%4.%5.%6.%7.%8."/>
      <w:lvlJc w:val="left"/>
      <w:pPr>
        <w:ind w:left="845" w:hanging="425"/>
      </w:pPr>
      <w:rPr>
        <w:rFonts w:hint="eastAsia"/>
      </w:rPr>
    </w:lvl>
    <w:lvl w:ilvl="8" w:tentative="0">
      <w:start w:val="1"/>
      <w:numFmt w:val="decimal"/>
      <w:lvlText w:val="%1.%2.%3.%4.%5.%6.%7.%8.%9."/>
      <w:lvlJc w:val="left"/>
      <w:pPr>
        <w:ind w:left="845" w:hanging="425"/>
      </w:pPr>
      <w:rPr>
        <w:rFonts w:hint="eastAsia"/>
      </w:rPr>
    </w:lvl>
  </w:abstractNum>
  <w:abstractNum w:abstractNumId="1">
    <w:nsid w:val="1D4235E7"/>
    <w:multiLevelType w:val="multilevel"/>
    <w:tmpl w:val="1D4235E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DF73F66"/>
    <w:multiLevelType w:val="multilevel"/>
    <w:tmpl w:val="1DF73F66"/>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3">
    <w:nsid w:val="213C2A02"/>
    <w:multiLevelType w:val="multilevel"/>
    <w:tmpl w:val="213C2A0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4">
    <w:nsid w:val="220F5A99"/>
    <w:multiLevelType w:val="multilevel"/>
    <w:tmpl w:val="220F5A9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36A42CA"/>
    <w:multiLevelType w:val="multilevel"/>
    <w:tmpl w:val="236A42C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6">
    <w:nsid w:val="25B42E8C"/>
    <w:multiLevelType w:val="multilevel"/>
    <w:tmpl w:val="25B42E8C"/>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88354E0"/>
    <w:multiLevelType w:val="multilevel"/>
    <w:tmpl w:val="288354E0"/>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8">
    <w:nsid w:val="2E3B3EC7"/>
    <w:multiLevelType w:val="multilevel"/>
    <w:tmpl w:val="2E3B3EC7"/>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9">
    <w:nsid w:val="32436869"/>
    <w:multiLevelType w:val="multilevel"/>
    <w:tmpl w:val="3243686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0">
    <w:nsid w:val="371723CF"/>
    <w:multiLevelType w:val="multilevel"/>
    <w:tmpl w:val="371723CF"/>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416C17E4"/>
    <w:multiLevelType w:val="multilevel"/>
    <w:tmpl w:val="416C17E4"/>
    <w:lvl w:ilvl="0" w:tentative="0">
      <w:start w:val="1"/>
      <w:numFmt w:val="chineseCountingThousand"/>
      <w:suff w:val="space"/>
      <w:lvlText w:val="第%1章"/>
      <w:lvlJc w:val="left"/>
      <w:pPr>
        <w:ind w:left="360" w:hanging="360"/>
      </w:pPr>
      <w:rPr>
        <w:rFonts w:hint="eastAsia"/>
      </w:rPr>
    </w:lvl>
    <w:lvl w:ilvl="1" w:tentative="0">
      <w:start w:val="1"/>
      <w:numFmt w:val="decimal"/>
      <w:isLgl/>
      <w:suff w:val="space"/>
      <w:lvlText w:val="%1.%2"/>
      <w:lvlJc w:val="left"/>
      <w:pPr>
        <w:ind w:left="360" w:hanging="360"/>
      </w:pPr>
      <w:rPr>
        <w:rFonts w:hint="eastAsia" w:ascii="宋体" w:hAnsi="宋体" w:eastAsia="宋体"/>
        <w:sz w:val="21"/>
      </w:rPr>
    </w:lvl>
    <w:lvl w:ilvl="2" w:tentative="0">
      <w:start w:val="1"/>
      <w:numFmt w:val="decimal"/>
      <w:isLgl/>
      <w:suff w:val="space"/>
      <w:lvlText w:val="%1.%2.%3"/>
      <w:lvlJc w:val="left"/>
      <w:pPr>
        <w:ind w:left="720" w:hanging="720"/>
      </w:pPr>
      <w:rPr>
        <w:rFonts w:hint="default" w:ascii="宋体" w:hAnsi="宋体" w:eastAsia="宋体"/>
      </w:rPr>
    </w:lvl>
    <w:lvl w:ilvl="3" w:tentative="0">
      <w:start w:val="1"/>
      <w:numFmt w:val="decimal"/>
      <w:isLgl/>
      <w:suff w:val="space"/>
      <w:lvlText w:val="%1.%2.%3.%4"/>
      <w:lvlJc w:val="left"/>
      <w:pPr>
        <w:ind w:left="720" w:hanging="720"/>
      </w:pPr>
      <w:rPr>
        <w:rFonts w:hint="default" w:ascii="宋体" w:hAnsi="宋体" w:eastAsia="宋体"/>
      </w:rPr>
    </w:lvl>
    <w:lvl w:ilvl="4" w:tentative="0">
      <w:start w:val="1"/>
      <w:numFmt w:val="decimal"/>
      <w:isLgl/>
      <w:suff w:val="space"/>
      <w:lvlText w:val="%1.%2.%3.%4.%5"/>
      <w:lvlJc w:val="left"/>
      <w:pPr>
        <w:ind w:left="1080" w:hanging="1080"/>
      </w:pPr>
      <w:rPr>
        <w:rFonts w:hint="default" w:ascii="宋体" w:hAnsi="宋体" w:eastAsia="宋体"/>
      </w:rPr>
    </w:lvl>
    <w:lvl w:ilvl="5" w:tentative="0">
      <w:start w:val="1"/>
      <w:numFmt w:val="decimal"/>
      <w:isLgl/>
      <w:suff w:val="space"/>
      <w:lvlText w:val="%1.%2.%3.%4.%5.%6"/>
      <w:lvlJc w:val="left"/>
      <w:pPr>
        <w:ind w:left="1080" w:hanging="1080"/>
      </w:pPr>
      <w:rPr>
        <w:rFonts w:hint="default" w:ascii="宋体" w:hAnsi="宋体" w:eastAsia="宋体"/>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2">
    <w:nsid w:val="46E7571A"/>
    <w:multiLevelType w:val="multilevel"/>
    <w:tmpl w:val="46E7571A"/>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50D41DC4"/>
    <w:multiLevelType w:val="multilevel"/>
    <w:tmpl w:val="50D41DC4"/>
    <w:lvl w:ilvl="0" w:tentative="0">
      <w:start w:val="1"/>
      <w:numFmt w:val="decimal"/>
      <w:lvlText w:val="%1."/>
      <w:lvlJc w:val="left"/>
      <w:pPr>
        <w:ind w:left="955" w:hanging="845"/>
      </w:pPr>
      <w:rPr>
        <w:rFonts w:hint="eastAsia"/>
      </w:rPr>
    </w:lvl>
    <w:lvl w:ilvl="1" w:tentative="0">
      <w:start w:val="1"/>
      <w:numFmt w:val="decimal"/>
      <w:lvlText w:val="%1.%2."/>
      <w:lvlJc w:val="left"/>
      <w:pPr>
        <w:ind w:left="955" w:hanging="425"/>
      </w:pPr>
      <w:rPr>
        <w:rFonts w:hint="eastAsia"/>
      </w:rPr>
    </w:lvl>
    <w:lvl w:ilvl="2" w:tentative="0">
      <w:start w:val="1"/>
      <w:numFmt w:val="decimal"/>
      <w:lvlText w:val="%1.%2.%3."/>
      <w:lvlJc w:val="left"/>
      <w:pPr>
        <w:ind w:left="955" w:hanging="425"/>
      </w:pPr>
      <w:rPr>
        <w:rFonts w:hint="eastAsia"/>
      </w:rPr>
    </w:lvl>
    <w:lvl w:ilvl="3" w:tentative="0">
      <w:start w:val="1"/>
      <w:numFmt w:val="decimal"/>
      <w:lvlText w:val="%1.%2.%3.%4."/>
      <w:lvlJc w:val="left"/>
      <w:pPr>
        <w:ind w:left="955" w:hanging="425"/>
      </w:pPr>
      <w:rPr>
        <w:rFonts w:hint="eastAsia"/>
      </w:rPr>
    </w:lvl>
    <w:lvl w:ilvl="4" w:tentative="0">
      <w:start w:val="1"/>
      <w:numFmt w:val="decimal"/>
      <w:lvlText w:val="%1.%2.%3.%4.%5."/>
      <w:lvlJc w:val="left"/>
      <w:pPr>
        <w:ind w:left="955" w:hanging="425"/>
      </w:pPr>
      <w:rPr>
        <w:rFonts w:hint="eastAsia"/>
      </w:rPr>
    </w:lvl>
    <w:lvl w:ilvl="5" w:tentative="0">
      <w:start w:val="1"/>
      <w:numFmt w:val="decimal"/>
      <w:lvlText w:val="%1.%2.%3.%4.%5.%6."/>
      <w:lvlJc w:val="left"/>
      <w:pPr>
        <w:ind w:left="955" w:hanging="425"/>
      </w:pPr>
      <w:rPr>
        <w:rFonts w:hint="eastAsia"/>
      </w:rPr>
    </w:lvl>
    <w:lvl w:ilvl="6" w:tentative="0">
      <w:start w:val="1"/>
      <w:numFmt w:val="decimal"/>
      <w:lvlText w:val="%1.%2.%3.%4.%5.%6.%7."/>
      <w:lvlJc w:val="left"/>
      <w:pPr>
        <w:ind w:left="955" w:hanging="425"/>
      </w:pPr>
      <w:rPr>
        <w:rFonts w:hint="eastAsia"/>
      </w:rPr>
    </w:lvl>
    <w:lvl w:ilvl="7" w:tentative="0">
      <w:start w:val="1"/>
      <w:numFmt w:val="decimal"/>
      <w:lvlText w:val="%1.%2.%3.%4.%5.%6.%7.%8."/>
      <w:lvlJc w:val="left"/>
      <w:pPr>
        <w:ind w:left="955" w:hanging="425"/>
      </w:pPr>
      <w:rPr>
        <w:rFonts w:hint="eastAsia"/>
      </w:rPr>
    </w:lvl>
    <w:lvl w:ilvl="8" w:tentative="0">
      <w:start w:val="1"/>
      <w:numFmt w:val="decimal"/>
      <w:lvlText w:val="%1.%2.%3.%4.%5.%6.%7.%8.%9."/>
      <w:lvlJc w:val="left"/>
      <w:pPr>
        <w:ind w:left="955" w:hanging="425"/>
      </w:pPr>
      <w:rPr>
        <w:rFonts w:hint="eastAsia"/>
      </w:rPr>
    </w:lvl>
  </w:abstractNum>
  <w:abstractNum w:abstractNumId="14">
    <w:nsid w:val="54F32B58"/>
    <w:multiLevelType w:val="multilevel"/>
    <w:tmpl w:val="54F32B58"/>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5">
    <w:nsid w:val="56DE50B4"/>
    <w:multiLevelType w:val="multilevel"/>
    <w:tmpl w:val="56DE50B4"/>
    <w:lvl w:ilvl="0" w:tentative="0">
      <w:start w:val="1"/>
      <w:numFmt w:val="decimal"/>
      <w:lvlText w:val="%1."/>
      <w:lvlJc w:val="left"/>
      <w:pPr>
        <w:ind w:left="845" w:hanging="845"/>
      </w:pPr>
      <w:rPr>
        <w:rFonts w:hint="eastAsia"/>
      </w:rPr>
    </w:lvl>
    <w:lvl w:ilvl="1" w:tentative="0">
      <w:start w:val="1"/>
      <w:numFmt w:val="decimal"/>
      <w:lvlText w:val="%1.%2."/>
      <w:lvlJc w:val="left"/>
      <w:pPr>
        <w:ind w:left="845" w:hanging="425"/>
      </w:pPr>
      <w:rPr>
        <w:rFonts w:hint="eastAsia"/>
      </w:rPr>
    </w:lvl>
    <w:lvl w:ilvl="2" w:tentative="0">
      <w:start w:val="1"/>
      <w:numFmt w:val="decimal"/>
      <w:lvlText w:val="%1.%2.%3."/>
      <w:lvlJc w:val="left"/>
      <w:pPr>
        <w:ind w:left="845" w:hanging="425"/>
      </w:pPr>
      <w:rPr>
        <w:rFonts w:hint="eastAsia"/>
      </w:rPr>
    </w:lvl>
    <w:lvl w:ilvl="3" w:tentative="0">
      <w:start w:val="1"/>
      <w:numFmt w:val="decimal"/>
      <w:lvlText w:val="%1.%2.%3.%4."/>
      <w:lvlJc w:val="left"/>
      <w:pPr>
        <w:ind w:left="845" w:hanging="425"/>
      </w:pPr>
      <w:rPr>
        <w:rFonts w:hint="eastAsia"/>
      </w:rPr>
    </w:lvl>
    <w:lvl w:ilvl="4" w:tentative="0">
      <w:start w:val="1"/>
      <w:numFmt w:val="decimal"/>
      <w:lvlText w:val="%1.%2.%3.%4.%5."/>
      <w:lvlJc w:val="left"/>
      <w:pPr>
        <w:ind w:left="845" w:hanging="425"/>
      </w:pPr>
      <w:rPr>
        <w:rFonts w:hint="eastAsia"/>
      </w:rPr>
    </w:lvl>
    <w:lvl w:ilvl="5" w:tentative="0">
      <w:start w:val="1"/>
      <w:numFmt w:val="decimal"/>
      <w:lvlText w:val="%1.%2.%3.%4.%5.%6."/>
      <w:lvlJc w:val="left"/>
      <w:pPr>
        <w:ind w:left="845" w:hanging="425"/>
      </w:pPr>
      <w:rPr>
        <w:rFonts w:hint="eastAsia"/>
      </w:rPr>
    </w:lvl>
    <w:lvl w:ilvl="6" w:tentative="0">
      <w:start w:val="1"/>
      <w:numFmt w:val="decimal"/>
      <w:lvlText w:val="%1.%2.%3.%4.%5.%6.%7."/>
      <w:lvlJc w:val="left"/>
      <w:pPr>
        <w:ind w:left="845" w:hanging="425"/>
      </w:pPr>
      <w:rPr>
        <w:rFonts w:hint="eastAsia"/>
      </w:rPr>
    </w:lvl>
    <w:lvl w:ilvl="7" w:tentative="0">
      <w:start w:val="1"/>
      <w:numFmt w:val="decimal"/>
      <w:lvlText w:val="%1.%2.%3.%4.%5.%6.%7.%8."/>
      <w:lvlJc w:val="left"/>
      <w:pPr>
        <w:ind w:left="845" w:hanging="425"/>
      </w:pPr>
      <w:rPr>
        <w:rFonts w:hint="eastAsia"/>
      </w:rPr>
    </w:lvl>
    <w:lvl w:ilvl="8" w:tentative="0">
      <w:start w:val="1"/>
      <w:numFmt w:val="decimal"/>
      <w:lvlText w:val="%1.%2.%3.%4.%5.%6.%7.%8.%9."/>
      <w:lvlJc w:val="left"/>
      <w:pPr>
        <w:ind w:left="845" w:hanging="425"/>
      </w:pPr>
      <w:rPr>
        <w:rFonts w:hint="eastAsia"/>
      </w:rPr>
    </w:lvl>
  </w:abstractNum>
  <w:abstractNum w:abstractNumId="16">
    <w:nsid w:val="5E896922"/>
    <w:multiLevelType w:val="multilevel"/>
    <w:tmpl w:val="5E89692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61E42F82"/>
    <w:multiLevelType w:val="multilevel"/>
    <w:tmpl w:val="61E42F8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8">
    <w:nsid w:val="6B6E1CEF"/>
    <w:multiLevelType w:val="multilevel"/>
    <w:tmpl w:val="6B6E1CEF"/>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6E2B2A4C"/>
    <w:multiLevelType w:val="multilevel"/>
    <w:tmpl w:val="6E2B2A4C"/>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0">
    <w:nsid w:val="7F342FE9"/>
    <w:multiLevelType w:val="multilevel"/>
    <w:tmpl w:val="7F342FE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1"/>
    <w:lvlOverride w:ilvl="0">
      <w:lvl w:ilvl="0" w:tentative="1">
        <w:start w:val="1"/>
        <w:numFmt w:val="chineseCountingThousand"/>
        <w:pStyle w:val="2"/>
        <w:suff w:val="space"/>
        <w:lvlText w:val="第%1章"/>
        <w:lvlJc w:val="left"/>
        <w:pPr>
          <w:ind w:left="360" w:hanging="360"/>
        </w:pPr>
        <w:rPr>
          <w:rFonts w:hint="eastAsia"/>
        </w:rPr>
      </w:lvl>
    </w:lvlOverride>
    <w:lvlOverride w:ilvl="1">
      <w:lvl w:ilvl="1" w:tentative="1">
        <w:start w:val="1"/>
        <w:numFmt w:val="decimal"/>
        <w:pStyle w:val="3"/>
        <w:isLgl/>
        <w:suff w:val="space"/>
        <w:lvlText w:val="%1.%2"/>
        <w:lvlJc w:val="left"/>
        <w:pPr>
          <w:ind w:left="360" w:hanging="360"/>
        </w:pPr>
        <w:rPr>
          <w:rFonts w:hint="eastAsia" w:ascii="宋体" w:hAnsi="宋体" w:eastAsia="宋体"/>
          <w:sz w:val="21"/>
        </w:rPr>
      </w:lvl>
    </w:lvlOverride>
    <w:lvlOverride w:ilvl="2">
      <w:lvl w:ilvl="2" w:tentative="1">
        <w:start w:val="1"/>
        <w:numFmt w:val="decimal"/>
        <w:pStyle w:val="4"/>
        <w:isLgl/>
        <w:suff w:val="space"/>
        <w:lvlText w:val="%1.%2.%3"/>
        <w:lvlJc w:val="left"/>
        <w:pPr>
          <w:ind w:left="720" w:hanging="720"/>
        </w:pPr>
        <w:rPr>
          <w:rFonts w:hint="default" w:ascii="宋体" w:hAnsi="宋体" w:eastAsia="宋体"/>
        </w:rPr>
      </w:lvl>
    </w:lvlOverride>
    <w:lvlOverride w:ilvl="3">
      <w:lvl w:ilvl="3" w:tentative="1">
        <w:start w:val="1"/>
        <w:numFmt w:val="decimal"/>
        <w:pStyle w:val="5"/>
        <w:isLgl/>
        <w:suff w:val="space"/>
        <w:lvlText w:val="%1.%2.%3.%4"/>
        <w:lvlJc w:val="left"/>
        <w:pPr>
          <w:ind w:left="720" w:hanging="720"/>
        </w:pPr>
        <w:rPr>
          <w:rFonts w:hint="default" w:ascii="宋体" w:hAnsi="宋体" w:eastAsia="宋体"/>
        </w:rPr>
      </w:lvl>
    </w:lvlOverride>
    <w:lvlOverride w:ilvl="4">
      <w:lvl w:ilvl="4" w:tentative="1">
        <w:start w:val="1"/>
        <w:numFmt w:val="decimal"/>
        <w:pStyle w:val="6"/>
        <w:isLgl/>
        <w:suff w:val="space"/>
        <w:lvlText w:val="%1.%2.%3.%4.%5"/>
        <w:lvlJc w:val="left"/>
        <w:pPr>
          <w:ind w:left="1080" w:hanging="1080"/>
        </w:pPr>
        <w:rPr>
          <w:rFonts w:hint="default" w:ascii="宋体" w:hAnsi="宋体" w:eastAsia="宋体"/>
        </w:rPr>
      </w:lvl>
    </w:lvlOverride>
    <w:lvlOverride w:ilvl="5">
      <w:lvl w:ilvl="5" w:tentative="1">
        <w:start w:val="1"/>
        <w:numFmt w:val="decimal"/>
        <w:pStyle w:val="7"/>
        <w:isLgl/>
        <w:suff w:val="space"/>
        <w:lvlText w:val="%1.%2.%3.%4.%5.%6"/>
        <w:lvlJc w:val="left"/>
        <w:pPr>
          <w:ind w:left="1080" w:hanging="1080"/>
        </w:pPr>
        <w:rPr>
          <w:rFonts w:hint="default" w:ascii="宋体" w:hAnsi="宋体" w:eastAsia="宋体"/>
        </w:rPr>
      </w:lvl>
    </w:lvlOverride>
    <w:lvlOverride w:ilvl="6">
      <w:lvl w:ilvl="6" w:tentative="1">
        <w:start w:val="1"/>
        <w:numFmt w:val="decimal"/>
        <w:isLgl/>
        <w:lvlText w:val="%1.%2.%3.%4.%5.%6.%7"/>
        <w:lvlJc w:val="left"/>
        <w:pPr>
          <w:ind w:left="1080" w:hanging="1080"/>
        </w:pPr>
        <w:rPr>
          <w:rFonts w:hint="default"/>
        </w:rPr>
      </w:lvl>
    </w:lvlOverride>
    <w:lvlOverride w:ilvl="7">
      <w:lvl w:ilvl="7" w:tentative="1">
        <w:start w:val="1"/>
        <w:numFmt w:val="decimal"/>
        <w:isLgl/>
        <w:lvlText w:val="%1.%2.%3.%4.%5.%6.%7.%8"/>
        <w:lvlJc w:val="left"/>
        <w:pPr>
          <w:ind w:left="1440" w:hanging="1440"/>
        </w:pPr>
        <w:rPr>
          <w:rFonts w:hint="default"/>
        </w:rPr>
      </w:lvl>
    </w:lvlOverride>
    <w:lvlOverride w:ilvl="8">
      <w:lvl w:ilvl="8" w:tentative="1">
        <w:start w:val="1"/>
        <w:numFmt w:val="decimal"/>
        <w:isLgl/>
        <w:lvlText w:val="%1.%2.%3.%4.%5.%6.%7.%8.%9"/>
        <w:lvlJc w:val="left"/>
        <w:pPr>
          <w:ind w:left="1440" w:hanging="1440"/>
        </w:pPr>
        <w:rPr>
          <w:rFonts w:hint="default"/>
        </w:rPr>
      </w:lvl>
    </w:lvlOverride>
  </w:num>
  <w:num w:numId="2">
    <w:abstractNumId w:val="11"/>
  </w:num>
  <w:num w:numId="3">
    <w:abstractNumId w:val="8"/>
  </w:num>
  <w:num w:numId="4">
    <w:abstractNumId w:val="10"/>
  </w:num>
  <w:num w:numId="5">
    <w:abstractNumId w:val="14"/>
  </w:num>
  <w:num w:numId="6">
    <w:abstractNumId w:val="18"/>
  </w:num>
  <w:num w:numId="7">
    <w:abstractNumId w:val="6"/>
  </w:num>
  <w:num w:numId="8">
    <w:abstractNumId w:val="15"/>
  </w:num>
  <w:num w:numId="9">
    <w:abstractNumId w:val="13"/>
  </w:num>
  <w:num w:numId="10">
    <w:abstractNumId w:val="0"/>
  </w:num>
  <w:num w:numId="11">
    <w:abstractNumId w:val="2"/>
  </w:num>
  <w:num w:numId="12">
    <w:abstractNumId w:val="4"/>
  </w:num>
  <w:num w:numId="13">
    <w:abstractNumId w:val="17"/>
  </w:num>
  <w:num w:numId="14">
    <w:abstractNumId w:val="9"/>
  </w:num>
  <w:num w:numId="15">
    <w:abstractNumId w:val="1"/>
  </w:num>
  <w:num w:numId="16">
    <w:abstractNumId w:val="5"/>
  </w:num>
  <w:num w:numId="17">
    <w:abstractNumId w:val="16"/>
  </w:num>
  <w:num w:numId="18">
    <w:abstractNumId w:val="19"/>
  </w:num>
  <w:num w:numId="19">
    <w:abstractNumId w:val="12"/>
  </w:num>
  <w:num w:numId="20">
    <w:abstractNumId w:val="7"/>
  </w:num>
  <w:num w:numId="21">
    <w:abstractNumId w:val="3"/>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BF611E"/>
    <w:rsid w:val="00097D5E"/>
    <w:rsid w:val="000D56D2"/>
    <w:rsid w:val="00253479"/>
    <w:rsid w:val="0027408D"/>
    <w:rsid w:val="00305B15"/>
    <w:rsid w:val="003357BB"/>
    <w:rsid w:val="003A4D42"/>
    <w:rsid w:val="003F5FE8"/>
    <w:rsid w:val="004F26DD"/>
    <w:rsid w:val="00583769"/>
    <w:rsid w:val="006C4967"/>
    <w:rsid w:val="0071383B"/>
    <w:rsid w:val="00722D53"/>
    <w:rsid w:val="007638A1"/>
    <w:rsid w:val="007B07ED"/>
    <w:rsid w:val="00800825"/>
    <w:rsid w:val="00925DDC"/>
    <w:rsid w:val="009313FD"/>
    <w:rsid w:val="00990328"/>
    <w:rsid w:val="009A1701"/>
    <w:rsid w:val="00A214C4"/>
    <w:rsid w:val="00AE2A68"/>
    <w:rsid w:val="00B36C9D"/>
    <w:rsid w:val="00B36FC6"/>
    <w:rsid w:val="00B5124E"/>
    <w:rsid w:val="00BB2785"/>
    <w:rsid w:val="00BF611E"/>
    <w:rsid w:val="00C41BB9"/>
    <w:rsid w:val="00C623E6"/>
    <w:rsid w:val="00C80833"/>
    <w:rsid w:val="00C910D6"/>
    <w:rsid w:val="00D22E5D"/>
    <w:rsid w:val="00E8194D"/>
    <w:rsid w:val="00EA378F"/>
    <w:rsid w:val="00F439A1"/>
    <w:rsid w:val="00F92A94"/>
    <w:rsid w:val="00FF0BE7"/>
    <w:rsid w:val="0C0E375F"/>
    <w:rsid w:val="2F04150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0"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17"/>
    <w:qFormat/>
    <w:uiPriority w:val="9"/>
    <w:pPr>
      <w:keepNext/>
      <w:keepLines/>
      <w:numPr>
        <w:ilvl w:val="0"/>
        <w:numId w:val="1"/>
      </w:numPr>
      <w:spacing w:before="340" w:after="330" w:line="578" w:lineRule="auto"/>
      <w:ind w:left="0" w:firstLine="0"/>
      <w:outlineLvl w:val="0"/>
    </w:pPr>
    <w:rPr>
      <w:rFonts w:ascii="Times New Roman" w:hAnsi="Times New Roman"/>
      <w:b/>
      <w:bCs/>
      <w:kern w:val="44"/>
      <w:sz w:val="44"/>
      <w:szCs w:val="44"/>
    </w:rPr>
  </w:style>
  <w:style w:type="paragraph" w:styleId="3">
    <w:name w:val="heading 2"/>
    <w:basedOn w:val="1"/>
    <w:next w:val="1"/>
    <w:link w:val="18"/>
    <w:qFormat/>
    <w:uiPriority w:val="0"/>
    <w:pPr>
      <w:keepNext/>
      <w:keepLines/>
      <w:numPr>
        <w:ilvl w:val="1"/>
        <w:numId w:val="1"/>
      </w:numPr>
      <w:spacing w:before="260" w:after="260" w:line="416" w:lineRule="auto"/>
      <w:ind w:left="0" w:firstLine="0"/>
      <w:outlineLvl w:val="1"/>
    </w:pPr>
    <w:rPr>
      <w:rFonts w:ascii="Arial" w:hAnsi="Arial"/>
      <w:b/>
      <w:bCs/>
      <w:kern w:val="0"/>
      <w:sz w:val="20"/>
      <w:szCs w:val="32"/>
    </w:rPr>
  </w:style>
  <w:style w:type="paragraph" w:styleId="4">
    <w:name w:val="heading 3"/>
    <w:basedOn w:val="1"/>
    <w:next w:val="1"/>
    <w:link w:val="19"/>
    <w:qFormat/>
    <w:uiPriority w:val="0"/>
    <w:pPr>
      <w:keepNext/>
      <w:keepLines/>
      <w:numPr>
        <w:ilvl w:val="2"/>
        <w:numId w:val="1"/>
      </w:numPr>
      <w:spacing w:before="260" w:after="260" w:line="416" w:lineRule="auto"/>
      <w:ind w:left="0" w:firstLine="0"/>
      <w:outlineLvl w:val="2"/>
    </w:pPr>
    <w:rPr>
      <w:b/>
      <w:bCs/>
      <w:kern w:val="0"/>
      <w:sz w:val="20"/>
      <w:szCs w:val="32"/>
    </w:rPr>
  </w:style>
  <w:style w:type="paragraph" w:styleId="5">
    <w:name w:val="heading 4"/>
    <w:basedOn w:val="1"/>
    <w:next w:val="1"/>
    <w:link w:val="20"/>
    <w:qFormat/>
    <w:uiPriority w:val="9"/>
    <w:pPr>
      <w:keepNext/>
      <w:keepLines/>
      <w:numPr>
        <w:ilvl w:val="3"/>
        <w:numId w:val="1"/>
      </w:numPr>
      <w:spacing w:before="280" w:after="290" w:line="376" w:lineRule="auto"/>
      <w:outlineLvl w:val="3"/>
    </w:pPr>
    <w:rPr>
      <w:rFonts w:ascii="Arial" w:hAnsi="Arial" w:eastAsiaTheme="majorEastAsia"/>
      <w:b/>
      <w:bCs/>
      <w:kern w:val="0"/>
      <w:szCs w:val="28"/>
    </w:rPr>
  </w:style>
  <w:style w:type="paragraph" w:styleId="6">
    <w:name w:val="heading 5"/>
    <w:basedOn w:val="1"/>
    <w:next w:val="1"/>
    <w:link w:val="21"/>
    <w:qFormat/>
    <w:uiPriority w:val="9"/>
    <w:pPr>
      <w:keepNext/>
      <w:keepLines/>
      <w:numPr>
        <w:ilvl w:val="4"/>
        <w:numId w:val="1"/>
      </w:numPr>
      <w:spacing w:before="280" w:after="290" w:line="376" w:lineRule="auto"/>
      <w:ind w:left="0" w:firstLine="0"/>
      <w:outlineLvl w:val="4"/>
    </w:pPr>
    <w:rPr>
      <w:b/>
      <w:bCs/>
      <w:kern w:val="0"/>
      <w:sz w:val="20"/>
      <w:szCs w:val="28"/>
    </w:rPr>
  </w:style>
  <w:style w:type="paragraph" w:styleId="7">
    <w:name w:val="heading 6"/>
    <w:basedOn w:val="1"/>
    <w:next w:val="1"/>
    <w:link w:val="22"/>
    <w:qFormat/>
    <w:uiPriority w:val="9"/>
    <w:pPr>
      <w:keepNext/>
      <w:keepLines/>
      <w:numPr>
        <w:ilvl w:val="5"/>
        <w:numId w:val="1"/>
      </w:numPr>
      <w:spacing w:before="240" w:after="64" w:line="320" w:lineRule="auto"/>
      <w:ind w:left="0" w:firstLine="0"/>
      <w:outlineLvl w:val="5"/>
    </w:pPr>
    <w:rPr>
      <w:rFonts w:ascii="Cambria" w:hAnsi="Cambria"/>
      <w:b/>
      <w:bCs/>
      <w:kern w:val="0"/>
      <w:sz w:val="24"/>
      <w:szCs w:val="24"/>
    </w:rPr>
  </w:style>
  <w:style w:type="character" w:default="1" w:styleId="13">
    <w:name w:val="Default Paragraph Font"/>
    <w:semiHidden/>
    <w:unhideWhenUsed/>
    <w:qFormat/>
    <w:uiPriority w:val="1"/>
  </w:style>
  <w:style w:type="table" w:default="1" w:styleId="14">
    <w:name w:val="Normal Table"/>
    <w:semiHidden/>
    <w:unhideWhenUsed/>
    <w:qFormat/>
    <w:uiPriority w:val="99"/>
    <w:tblPr>
      <w:tblLayout w:type="fixed"/>
      <w:tblCellMar>
        <w:top w:w="0" w:type="dxa"/>
        <w:left w:w="108" w:type="dxa"/>
        <w:bottom w:w="0" w:type="dxa"/>
        <w:right w:w="108" w:type="dxa"/>
      </w:tblCellMar>
    </w:tblPr>
  </w:style>
  <w:style w:type="paragraph" w:styleId="8">
    <w:name w:val="Document Map"/>
    <w:basedOn w:val="1"/>
    <w:link w:val="26"/>
    <w:semiHidden/>
    <w:unhideWhenUsed/>
    <w:qFormat/>
    <w:uiPriority w:val="99"/>
    <w:rPr>
      <w:rFonts w:ascii="宋体"/>
      <w:sz w:val="18"/>
      <w:szCs w:val="18"/>
    </w:rPr>
  </w:style>
  <w:style w:type="paragraph" w:styleId="9">
    <w:name w:val="Body Text"/>
    <w:basedOn w:val="1"/>
    <w:link w:val="23"/>
    <w:qFormat/>
    <w:uiPriority w:val="0"/>
    <w:pPr>
      <w:spacing w:after="120" w:line="360" w:lineRule="auto"/>
    </w:pPr>
    <w:rPr>
      <w:kern w:val="0"/>
      <w:sz w:val="20"/>
      <w:szCs w:val="20"/>
    </w:rPr>
  </w:style>
  <w:style w:type="paragraph" w:styleId="10">
    <w:name w:val="Balloon Text"/>
    <w:basedOn w:val="1"/>
    <w:link w:val="27"/>
    <w:semiHidden/>
    <w:unhideWhenUsed/>
    <w:qFormat/>
    <w:uiPriority w:val="99"/>
    <w:rPr>
      <w:sz w:val="18"/>
      <w:szCs w:val="18"/>
    </w:rPr>
  </w:style>
  <w:style w:type="paragraph" w:styleId="11">
    <w:name w:val="footer"/>
    <w:basedOn w:val="1"/>
    <w:link w:val="16"/>
    <w:unhideWhenUsed/>
    <w:qFormat/>
    <w:uiPriority w:val="99"/>
    <w:pPr>
      <w:tabs>
        <w:tab w:val="center" w:pos="4153"/>
        <w:tab w:val="right" w:pos="8306"/>
      </w:tabs>
      <w:snapToGrid w:val="0"/>
      <w:jc w:val="left"/>
    </w:pPr>
    <w:rPr>
      <w:sz w:val="18"/>
      <w:szCs w:val="18"/>
    </w:rPr>
  </w:style>
  <w:style w:type="paragraph" w:styleId="12">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15">
    <w:name w:val="页眉 Char"/>
    <w:basedOn w:val="13"/>
    <w:link w:val="12"/>
    <w:qFormat/>
    <w:uiPriority w:val="99"/>
    <w:rPr>
      <w:sz w:val="18"/>
      <w:szCs w:val="18"/>
    </w:rPr>
  </w:style>
  <w:style w:type="character" w:customStyle="1" w:styleId="16">
    <w:name w:val="页脚 Char"/>
    <w:basedOn w:val="13"/>
    <w:link w:val="11"/>
    <w:qFormat/>
    <w:uiPriority w:val="99"/>
    <w:rPr>
      <w:sz w:val="18"/>
      <w:szCs w:val="18"/>
    </w:rPr>
  </w:style>
  <w:style w:type="character" w:customStyle="1" w:styleId="17">
    <w:name w:val="标题 1 Char"/>
    <w:basedOn w:val="13"/>
    <w:link w:val="2"/>
    <w:qFormat/>
    <w:uiPriority w:val="9"/>
    <w:rPr>
      <w:rFonts w:ascii="Times New Roman" w:hAnsi="Times New Roman" w:eastAsia="宋体" w:cs="Times New Roman"/>
      <w:b/>
      <w:bCs/>
      <w:kern w:val="44"/>
      <w:sz w:val="44"/>
      <w:szCs w:val="44"/>
    </w:rPr>
  </w:style>
  <w:style w:type="character" w:customStyle="1" w:styleId="18">
    <w:name w:val="标题 2 Char"/>
    <w:basedOn w:val="13"/>
    <w:link w:val="3"/>
    <w:qFormat/>
    <w:uiPriority w:val="0"/>
    <w:rPr>
      <w:rFonts w:ascii="Arial" w:hAnsi="Arial" w:eastAsia="宋体" w:cs="Times New Roman"/>
      <w:b/>
      <w:bCs/>
      <w:kern w:val="0"/>
      <w:sz w:val="20"/>
      <w:szCs w:val="32"/>
    </w:rPr>
  </w:style>
  <w:style w:type="character" w:customStyle="1" w:styleId="19">
    <w:name w:val="标题 3 Char"/>
    <w:basedOn w:val="13"/>
    <w:link w:val="4"/>
    <w:qFormat/>
    <w:uiPriority w:val="0"/>
    <w:rPr>
      <w:rFonts w:ascii="Calibri" w:hAnsi="Calibri" w:eastAsia="宋体" w:cs="Times New Roman"/>
      <w:b/>
      <w:bCs/>
      <w:kern w:val="0"/>
      <w:sz w:val="20"/>
      <w:szCs w:val="32"/>
    </w:rPr>
  </w:style>
  <w:style w:type="character" w:customStyle="1" w:styleId="20">
    <w:name w:val="标题 4 Char"/>
    <w:basedOn w:val="13"/>
    <w:link w:val="5"/>
    <w:qFormat/>
    <w:uiPriority w:val="9"/>
    <w:rPr>
      <w:rFonts w:ascii="Arial" w:hAnsi="Arial" w:cs="Times New Roman" w:eastAsiaTheme="majorEastAsia"/>
      <w:b/>
      <w:bCs/>
      <w:kern w:val="0"/>
      <w:szCs w:val="28"/>
    </w:rPr>
  </w:style>
  <w:style w:type="character" w:customStyle="1" w:styleId="21">
    <w:name w:val="标题 5 Char"/>
    <w:basedOn w:val="13"/>
    <w:link w:val="6"/>
    <w:qFormat/>
    <w:uiPriority w:val="9"/>
    <w:rPr>
      <w:rFonts w:ascii="Calibri" w:hAnsi="Calibri" w:eastAsia="宋体" w:cs="Times New Roman"/>
      <w:b/>
      <w:bCs/>
      <w:kern w:val="0"/>
      <w:sz w:val="20"/>
      <w:szCs w:val="28"/>
    </w:rPr>
  </w:style>
  <w:style w:type="character" w:customStyle="1" w:styleId="22">
    <w:name w:val="标题 6 Char"/>
    <w:basedOn w:val="13"/>
    <w:link w:val="7"/>
    <w:qFormat/>
    <w:uiPriority w:val="9"/>
    <w:rPr>
      <w:rFonts w:ascii="Cambria" w:hAnsi="Cambria" w:eastAsia="宋体" w:cs="Times New Roman"/>
      <w:b/>
      <w:bCs/>
      <w:kern w:val="0"/>
      <w:sz w:val="24"/>
      <w:szCs w:val="24"/>
    </w:rPr>
  </w:style>
  <w:style w:type="character" w:customStyle="1" w:styleId="23">
    <w:name w:val="正文文本 Char"/>
    <w:link w:val="9"/>
    <w:qFormat/>
    <w:uiPriority w:val="0"/>
    <w:rPr>
      <w:rFonts w:ascii="Calibri" w:hAnsi="Calibri" w:eastAsia="宋体" w:cs="Times New Roman"/>
      <w:kern w:val="0"/>
      <w:sz w:val="20"/>
      <w:szCs w:val="20"/>
    </w:rPr>
  </w:style>
  <w:style w:type="character" w:customStyle="1" w:styleId="24">
    <w:name w:val="正文文本 Char1"/>
    <w:basedOn w:val="13"/>
    <w:semiHidden/>
    <w:qFormat/>
    <w:uiPriority w:val="99"/>
    <w:rPr>
      <w:rFonts w:ascii="Calibri" w:hAnsi="Calibri" w:eastAsia="宋体" w:cs="Times New Roman"/>
      <w:szCs w:val="21"/>
    </w:rPr>
  </w:style>
  <w:style w:type="paragraph" w:customStyle="1" w:styleId="25">
    <w:name w:val="正文4"/>
    <w:basedOn w:val="1"/>
    <w:qFormat/>
    <w:uiPriority w:val="0"/>
    <w:pPr>
      <w:spacing w:line="320" w:lineRule="exact"/>
      <w:ind w:left="250" w:leftChars="250"/>
      <w:jc w:val="left"/>
    </w:pPr>
    <w:rPr>
      <w:rFonts w:ascii="Times New Roman" w:hAnsi="Times New Roman"/>
      <w:b/>
      <w:sz w:val="24"/>
      <w:szCs w:val="24"/>
    </w:rPr>
  </w:style>
  <w:style w:type="character" w:customStyle="1" w:styleId="26">
    <w:name w:val="文档结构图 Char"/>
    <w:basedOn w:val="13"/>
    <w:link w:val="8"/>
    <w:semiHidden/>
    <w:qFormat/>
    <w:uiPriority w:val="99"/>
    <w:rPr>
      <w:rFonts w:ascii="宋体" w:hAnsi="Calibri" w:eastAsia="宋体" w:cs="Times New Roman"/>
      <w:sz w:val="18"/>
      <w:szCs w:val="18"/>
    </w:rPr>
  </w:style>
  <w:style w:type="character" w:customStyle="1" w:styleId="27">
    <w:name w:val="批注框文本 Char"/>
    <w:basedOn w:val="13"/>
    <w:link w:val="10"/>
    <w:semiHidden/>
    <w:qFormat/>
    <w:uiPriority w:val="99"/>
    <w:rPr>
      <w:rFonts w:ascii="Calibri" w:hAnsi="Calibri" w:eastAsia="宋体" w:cs="Times New Roman"/>
      <w:sz w:val="18"/>
      <w:szCs w:val="18"/>
    </w:rPr>
  </w:style>
  <w:style w:type="paragraph" w:styleId="28">
    <w:name w:val="No Spacing"/>
    <w:link w:val="29"/>
    <w:qFormat/>
    <w:uiPriority w:val="1"/>
    <w:rPr>
      <w:rFonts w:asciiTheme="minorHAnsi" w:hAnsiTheme="minorHAnsi" w:eastAsiaTheme="minorEastAsia" w:cstheme="minorBidi"/>
      <w:kern w:val="0"/>
      <w:sz w:val="22"/>
      <w:szCs w:val="22"/>
      <w:lang w:val="en-US" w:eastAsia="zh-CN" w:bidi="ar-SA"/>
    </w:rPr>
  </w:style>
  <w:style w:type="character" w:customStyle="1" w:styleId="29">
    <w:name w:val="无间隔 Char"/>
    <w:basedOn w:val="13"/>
    <w:link w:val="28"/>
    <w:qFormat/>
    <w:uiPriority w:val="1"/>
    <w:rPr>
      <w:kern w:val="0"/>
      <w:sz w:val="22"/>
    </w:rPr>
  </w:style>
  <w:style w:type="character" w:customStyle="1" w:styleId="30">
    <w:name w:val="表内容 Char"/>
    <w:link w:val="31"/>
    <w:qFormat/>
    <w:uiPriority w:val="0"/>
  </w:style>
  <w:style w:type="paragraph" w:customStyle="1" w:styleId="31">
    <w:name w:val="表内容"/>
    <w:basedOn w:val="1"/>
    <w:link w:val="30"/>
    <w:qFormat/>
    <w:uiPriority w:val="0"/>
    <w:pPr>
      <w:spacing w:line="360" w:lineRule="auto"/>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FA2C04-ECC0-4F51-B712-E7E56E2095BE}">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625</Words>
  <Characters>3564</Characters>
  <Lines>29</Lines>
  <Paragraphs>8</Paragraphs>
  <TotalTime>0</TotalTime>
  <ScaleCrop>false</ScaleCrop>
  <LinksUpToDate>false</LinksUpToDate>
  <CharactersWithSpaces>4181</CharactersWithSpaces>
  <Application>WPS Office_10.1.0.7346_F1E327BC-269C-435d-A152-05C5408002CA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2017-03-23T10:02:00Z</dcterms:created>
  <dc:creator>syslx102</dc:creator>
  <cp:lastModifiedBy>Administrator</cp:lastModifiedBy>
  <dcterms:modified xsi:type="dcterms:W3CDTF">2020-12-22T01:56:32Z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