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>
      <w:pPr>
        <w:rPr>
          <w:sz w:val="44"/>
          <w:szCs w:val="44"/>
        </w:rPr>
      </w:pPr>
    </w:p>
    <w:p>
      <w:pPr>
        <w:jc w:val="center"/>
      </w:pPr>
      <w:r>
        <w:rPr>
          <w:rFonts w:hint="eastAsia"/>
          <w:b/>
          <w:sz w:val="44"/>
          <w:szCs w:val="44"/>
        </w:rPr>
        <w:t>村镇银行柜面业务系统操作手册</w:t>
      </w:r>
    </w:p>
    <w:p/>
    <w:p/>
    <w:p>
      <w:pPr>
        <w:jc w:val="center"/>
      </w:pPr>
    </w:p>
    <w:p/>
    <w:p/>
    <w:p/>
    <w:p/>
    <w:p/>
    <w:p/>
    <w:p/>
    <w:p/>
    <w:p/>
    <w:p/>
    <w:p>
      <w:pPr>
        <w:jc w:val="center"/>
      </w:pPr>
      <w:r>
        <w:drawing>
          <wp:inline distT="0" distB="0" distL="0" distR="0">
            <wp:extent cx="2992120" cy="373380"/>
            <wp:effectExtent l="0" t="0" r="17780" b="7620"/>
            <wp:docPr id="20" name="图片 1" descr="gon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gons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  <w:color w:val="auto"/>
        </w:rPr>
      </w:pPr>
      <w:r>
        <w:rPr>
          <w:b/>
        </w:rPr>
        <w:t>20</w:t>
      </w:r>
      <w:r>
        <w:rPr>
          <w:rFonts w:hint="eastAsia"/>
          <w:b/>
          <w:lang w:val="en-US" w:eastAsia="zh-CN"/>
        </w:rPr>
        <w:t>22</w:t>
      </w:r>
      <w:r>
        <w:rPr>
          <w:rFonts w:hint="eastAsia"/>
          <w:b/>
        </w:rPr>
        <w:t>年</w:t>
      </w:r>
      <w:r>
        <w:rPr>
          <w:rFonts w:hint="eastAsia"/>
          <w:b/>
          <w:lang w:val="en-US" w:eastAsia="zh-CN"/>
        </w:rPr>
        <w:t>01</w:t>
      </w:r>
      <w:r>
        <w:rPr>
          <w:rFonts w:hint="eastAsia"/>
          <w:b/>
        </w:rPr>
        <w:t>月2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>日</w:t>
      </w:r>
      <w:bookmarkStart w:id="0" w:name="_GoBack"/>
      <w:bookmarkEnd w:id="0"/>
    </w:p>
    <w:p>
      <w:pPr>
        <w:pStyle w:val="2"/>
        <w:numPr>
          <w:ilvl w:val="0"/>
          <w:numId w:val="0"/>
        </w:numPr>
        <w:ind w:left="643"/>
        <w:rPr>
          <w:color w:val="auto"/>
        </w:rPr>
      </w:pPr>
      <w:r>
        <w:rPr>
          <w:rFonts w:hint="eastAsia"/>
          <w:color w:val="auto"/>
        </w:rPr>
        <w:t>反洗钱风险等级查询</w:t>
      </w:r>
    </w:p>
    <w:p>
      <w:pPr>
        <w:pStyle w:val="3"/>
        <w:widowControl w:val="0"/>
        <w:numPr>
          <w:ilvl w:val="1"/>
          <w:numId w:val="2"/>
        </w:numPr>
        <w:tabs>
          <w:tab w:val="left" w:pos="567"/>
        </w:tabs>
        <w:adjustRightInd/>
        <w:snapToGrid/>
        <w:spacing w:after="0" w:line="240" w:lineRule="auto"/>
        <w:ind w:left="422" w:hanging="422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对私客户风险等级查询</w:t>
      </w:r>
    </w:p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12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菜单</w:t>
            </w:r>
            <w:r>
              <w:rPr>
                <w:rFonts w:ascii="宋体" w:hAnsi="宋体"/>
                <w:szCs w:val="21"/>
              </w:rPr>
              <w:t>/交易</w:t>
            </w:r>
            <w:r>
              <w:rPr>
                <w:rFonts w:hint="eastAsia" w:ascii="宋体" w:hAnsi="宋体"/>
                <w:szCs w:val="21"/>
              </w:rPr>
              <w:t>名称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对私客户风险等级查询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菜单</w:t>
            </w:r>
            <w:r>
              <w:rPr>
                <w:rFonts w:ascii="宋体" w:hAnsi="宋体"/>
                <w:szCs w:val="21"/>
              </w:rPr>
              <w:t>/交易</w:t>
            </w:r>
            <w:r>
              <w:rPr>
                <w:rFonts w:hint="eastAsia" w:ascii="宋体" w:hAnsi="宋体"/>
                <w:szCs w:val="21"/>
              </w:rPr>
              <w:t>代码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180081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功能说明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本交易为查询对私客户风险等级功能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操作机构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伊通榆银村镇银行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操作角色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全部角色柜员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授权/复核机构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授权/复核角色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打印输出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widowControl w:val="0"/>
              <w:adjustRightInd/>
              <w:snapToGrid/>
              <w:spacing w:after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</w:tbl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操作界面及栏位说明</w:t>
      </w:r>
    </w:p>
    <w:p>
      <w:pPr>
        <w:widowControl w:val="0"/>
        <w:adjustRightInd/>
        <w:snapToGrid/>
        <w:spacing w:after="0"/>
        <w:jc w:val="both"/>
        <w:rPr>
          <w:rFonts w:ascii="宋体" w:hAnsi="宋体" w:eastAsia="宋体" w:cs="Times New Roman"/>
          <w:b/>
          <w:kern w:val="2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操作界面1：</w:t>
      </w:r>
    </w:p>
    <w:p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114300" distR="114300">
            <wp:extent cx="5271770" cy="3556000"/>
            <wp:effectExtent l="0" t="0" r="5080" b="6350"/>
            <wp:docPr id="4" name="图片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</w:p>
    <w:p>
      <w:pPr>
        <w:widowControl w:val="0"/>
        <w:adjustRightInd/>
        <w:snapToGrid/>
        <w:spacing w:after="0"/>
        <w:jc w:val="both"/>
        <w:rPr>
          <w:rFonts w:ascii="宋体" w:hAnsi="宋体" w:eastAsia="宋体" w:cs="Times New Roman"/>
          <w:b/>
          <w:kern w:val="2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栏位说明1：</w:t>
      </w:r>
    </w:p>
    <w:tbl>
      <w:tblPr>
        <w:tblStyle w:val="12"/>
        <w:tblW w:w="831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847"/>
        <w:gridCol w:w="972"/>
        <w:gridCol w:w="1128"/>
        <w:gridCol w:w="1128"/>
        <w:gridCol w:w="846"/>
        <w:gridCol w:w="169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序号</w:t>
            </w:r>
          </w:p>
        </w:tc>
        <w:tc>
          <w:tcPr>
            <w:tcW w:w="184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栏位名称</w:t>
            </w:r>
          </w:p>
        </w:tc>
        <w:tc>
          <w:tcPr>
            <w:tcW w:w="9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输出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输入形式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数据类型</w:t>
            </w:r>
          </w:p>
        </w:tc>
        <w:tc>
          <w:tcPr>
            <w:tcW w:w="84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缺省值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说明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检查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数据状态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所属机构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输出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点开本交易自动反显本机构代码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客户名称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客户编号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分类等级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3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起始/结束日期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</w:tbl>
    <w:p>
      <w:pPr>
        <w:widowControl w:val="0"/>
        <w:adjustRightInd/>
        <w:snapToGrid/>
        <w:spacing w:after="0"/>
        <w:jc w:val="both"/>
        <w:rPr>
          <w:rFonts w:ascii="宋体" w:hAnsi="宋体" w:eastAsia="宋体" w:cs="Times New Roman"/>
          <w:b/>
          <w:kern w:val="2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操作界面2：</w:t>
      </w:r>
    </w:p>
    <w:p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114300" distR="114300">
            <wp:extent cx="5269865" cy="3481705"/>
            <wp:effectExtent l="0" t="0" r="6985" b="4445"/>
            <wp:docPr id="2" name="图片 2" descr="2021-08-31_10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1-08-31_104601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</w:p>
    <w:p>
      <w:pPr>
        <w:widowControl w:val="0"/>
        <w:adjustRightInd/>
        <w:snapToGrid/>
        <w:spacing w:after="0"/>
        <w:jc w:val="both"/>
        <w:rPr>
          <w:rFonts w:ascii="宋体" w:hAnsi="宋体" w:eastAsia="宋体" w:cs="Times New Roman"/>
          <w:b/>
          <w:kern w:val="2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栏位说明2：</w:t>
      </w:r>
    </w:p>
    <w:tbl>
      <w:tblPr>
        <w:tblStyle w:val="12"/>
        <w:tblW w:w="8335" w:type="dxa"/>
        <w:jc w:val="center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860"/>
        <w:gridCol w:w="965"/>
        <w:gridCol w:w="1130"/>
        <w:gridCol w:w="1130"/>
        <w:gridCol w:w="848"/>
        <w:gridCol w:w="16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序号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栏位名称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输出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输入形式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数据类型</w:t>
            </w:r>
          </w:p>
        </w:tc>
        <w:tc>
          <w:tcPr>
            <w:tcW w:w="8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缺省值</w:t>
            </w:r>
          </w:p>
        </w:tc>
        <w:tc>
          <w:tcPr>
            <w:tcW w:w="169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说明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检查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数据状态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所属机构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输出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点开本交易自动反显本机构代码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客户名称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输入项，最多输入32个字符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客户编号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输入项，最多输入32个数字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分类等级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numPr>
                <w:ilvl w:val="0"/>
                <w:numId w:val="4"/>
              </w:numPr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起始/结束日期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 xml:space="preserve">输入 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输入项，终止日期要大于起始日期（查询日期范围不限）</w:t>
            </w:r>
          </w:p>
        </w:tc>
      </w:tr>
    </w:tbl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操作流程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1. 主管柜员启动对私客户风险等级查询。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2. 数据状态、分类等级根据需求选择；机构号码反显本机构号码（不能查询其他机构信息）；客户名称、客户编号按需求输入（字符数值不得超过32个）；起始终止日期范围不限可按需求选择，（终止日期要大于起始日期）。确认录入信息无误后点击查询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3. 查询结束后，点击退出。</w:t>
      </w:r>
    </w:p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注意事项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1. 该交易只限</w:t>
      </w:r>
      <w:r>
        <w:rPr>
          <w:rFonts w:ascii="宋体" w:hAnsi="宋体" w:eastAsia="宋体" w:cs="Times New Roman"/>
        </w:rPr>
        <w:t>伊通榆银村镇银行</w:t>
      </w:r>
      <w:r>
        <w:rPr>
          <w:rFonts w:hint="eastAsia" w:ascii="宋体" w:hAnsi="宋体" w:eastAsia="宋体" w:cs="Times New Roman"/>
        </w:rPr>
        <w:t>所属机构</w:t>
      </w:r>
      <w:r>
        <w:rPr>
          <w:rFonts w:hint="eastAsia" w:ascii="宋体" w:hAnsi="宋体" w:eastAsia="宋体" w:cs="Times New Roman"/>
          <w:sz w:val="21"/>
          <w:szCs w:val="21"/>
        </w:rPr>
        <w:t>操作。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2. 该</w:t>
      </w:r>
      <w:r>
        <w:rPr>
          <w:rFonts w:ascii="宋体" w:hAnsi="宋体" w:eastAsia="宋体" w:cs="Times New Roman"/>
          <w:sz w:val="21"/>
          <w:szCs w:val="21"/>
        </w:rPr>
        <w:t>交易无需</w:t>
      </w:r>
      <w:r>
        <w:rPr>
          <w:rFonts w:hint="eastAsia" w:ascii="宋体" w:hAnsi="宋体" w:eastAsia="宋体" w:cs="Times New Roman"/>
          <w:sz w:val="21"/>
          <w:szCs w:val="21"/>
        </w:rPr>
        <w:t>授权。</w:t>
      </w:r>
    </w:p>
    <w:p>
      <w:pPr>
        <w:pStyle w:val="3"/>
        <w:widowControl w:val="0"/>
        <w:numPr>
          <w:ilvl w:val="1"/>
          <w:numId w:val="2"/>
        </w:numPr>
        <w:tabs>
          <w:tab w:val="left" w:pos="567"/>
        </w:tabs>
        <w:adjustRightInd/>
        <w:snapToGrid/>
        <w:spacing w:after="0" w:line="240" w:lineRule="auto"/>
        <w:ind w:left="422" w:hanging="422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对公客户风险等级查询</w:t>
      </w:r>
    </w:p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基本信息</w:t>
      </w:r>
    </w:p>
    <w:tbl>
      <w:tblPr>
        <w:tblStyle w:val="12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菜单</w:t>
            </w:r>
            <w:r>
              <w:rPr>
                <w:rFonts w:ascii="宋体" w:hAnsi="宋体"/>
                <w:szCs w:val="21"/>
              </w:rPr>
              <w:t>/交易</w:t>
            </w:r>
            <w:r>
              <w:rPr>
                <w:rFonts w:hint="eastAsia" w:ascii="宋体" w:hAnsi="宋体"/>
                <w:szCs w:val="21"/>
              </w:rPr>
              <w:t>名称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对公客户风险等级查询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菜单</w:t>
            </w:r>
            <w:r>
              <w:rPr>
                <w:rFonts w:ascii="宋体" w:hAnsi="宋体"/>
                <w:szCs w:val="21"/>
              </w:rPr>
              <w:t>/交易</w:t>
            </w:r>
            <w:r>
              <w:rPr>
                <w:rFonts w:hint="eastAsia" w:ascii="宋体" w:hAnsi="宋体"/>
                <w:szCs w:val="21"/>
              </w:rPr>
              <w:t>代码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180082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功能说明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rPr>
                <w:rFonts w:ascii="宋体" w:hAnsi="宋体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Theme="minorEastAsia"/>
                <w:kern w:val="2"/>
                <w:sz w:val="21"/>
                <w:szCs w:val="21"/>
              </w:rPr>
              <w:t>本交易为查询对公客户风险等级功能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操作机构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伊通榆银村镇银行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操作角色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全部角色柜员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授权/复核机构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授权/复核角色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pStyle w:val="16"/>
              <w:spacing w:line="24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打印输出</w:t>
            </w:r>
          </w:p>
        </w:tc>
        <w:tc>
          <w:tcPr>
            <w:tcW w:w="6650" w:type="dxa"/>
            <w:shd w:val="clear" w:color="auto" w:fill="auto"/>
            <w:vAlign w:val="center"/>
          </w:tcPr>
          <w:p>
            <w:pPr>
              <w:rPr>
                <w:rFonts w:ascii="宋体" w:hAnsi="宋体" w:eastAsiaTheme="minorEastAsia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Theme="minorEastAsia"/>
                <w:kern w:val="2"/>
                <w:sz w:val="21"/>
                <w:szCs w:val="21"/>
              </w:rPr>
              <w:t>无</w:t>
            </w:r>
          </w:p>
        </w:tc>
      </w:tr>
    </w:tbl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操作界面及栏位说明</w:t>
      </w:r>
    </w:p>
    <w:p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操作界面1：</w:t>
      </w:r>
      <w:r>
        <w:rPr>
          <w:rFonts w:asciiTheme="minorEastAsia" w:hAnsiTheme="minorEastAsia" w:eastAsiaTheme="minorEastAsia"/>
          <w:sz w:val="21"/>
          <w:szCs w:val="21"/>
        </w:rPr>
        <w:drawing>
          <wp:inline distT="0" distB="0" distL="0" distR="0">
            <wp:extent cx="5274310" cy="383857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</w:p>
    <w:p>
      <w:pPr>
        <w:spacing w:line="220" w:lineRule="atLeast"/>
        <w:rPr>
          <w:rFonts w:ascii="宋体" w:hAnsi="宋体" w:eastAsia="宋体" w:cs="Times New Roman"/>
          <w:b/>
          <w:kern w:val="2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栏位说明1：</w:t>
      </w:r>
    </w:p>
    <w:tbl>
      <w:tblPr>
        <w:tblStyle w:val="12"/>
        <w:tblW w:w="8318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847"/>
        <w:gridCol w:w="972"/>
        <w:gridCol w:w="1128"/>
        <w:gridCol w:w="1128"/>
        <w:gridCol w:w="846"/>
        <w:gridCol w:w="169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序号</w:t>
            </w:r>
          </w:p>
        </w:tc>
        <w:tc>
          <w:tcPr>
            <w:tcW w:w="1847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栏位名称</w:t>
            </w:r>
          </w:p>
        </w:tc>
        <w:tc>
          <w:tcPr>
            <w:tcW w:w="97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输出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输入形式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数据类型</w:t>
            </w:r>
          </w:p>
        </w:tc>
        <w:tc>
          <w:tcPr>
            <w:tcW w:w="84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缺省值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说明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检查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01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数据状态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02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所属机构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输出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点开本交易自动反显本机构代码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03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客户名称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04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客户编号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05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分类等级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0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06</w:t>
            </w:r>
          </w:p>
        </w:tc>
        <w:tc>
          <w:tcPr>
            <w:tcW w:w="18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起始/结束日期</w:t>
            </w:r>
          </w:p>
        </w:tc>
        <w:tc>
          <w:tcPr>
            <w:tcW w:w="9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</w:tbl>
    <w:p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操作界面2：</w:t>
      </w:r>
      <w:r>
        <w:rPr>
          <w:rFonts w:hint="eastAsia" w:asciiTheme="minorEastAsia" w:hAnsiTheme="minorEastAsia" w:eastAsiaTheme="minorEastAsia"/>
          <w:sz w:val="21"/>
          <w:szCs w:val="21"/>
        </w:rPr>
        <w:drawing>
          <wp:inline distT="0" distB="0" distL="114300" distR="114300">
            <wp:extent cx="5268595" cy="3524885"/>
            <wp:effectExtent l="0" t="0" r="8255" b="18415"/>
            <wp:docPr id="3" name="图片 3" descr="2021-08-31_10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1-08-31_10565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ascii="宋体" w:hAnsi="宋体" w:eastAsia="宋体" w:cs="Times New Roman"/>
          <w:b/>
          <w:kern w:val="2"/>
          <w:sz w:val="21"/>
          <w:szCs w:val="21"/>
        </w:rPr>
        <w:t xml:space="preserve"> </w:t>
      </w:r>
      <w:r>
        <w:rPr>
          <w:rFonts w:hint="eastAsia" w:ascii="宋体" w:hAnsi="宋体" w:eastAsia="宋体" w:cs="Times New Roman"/>
          <w:b/>
          <w:kern w:val="2"/>
          <w:sz w:val="21"/>
          <w:szCs w:val="21"/>
        </w:rPr>
        <w:t>栏位说明2：</w:t>
      </w:r>
    </w:p>
    <w:tbl>
      <w:tblPr>
        <w:tblStyle w:val="12"/>
        <w:tblW w:w="8335" w:type="dxa"/>
        <w:jc w:val="center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1860"/>
        <w:gridCol w:w="965"/>
        <w:gridCol w:w="1130"/>
        <w:gridCol w:w="1130"/>
        <w:gridCol w:w="848"/>
        <w:gridCol w:w="16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序号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栏位名称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输出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输入形式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数据类型</w:t>
            </w:r>
          </w:p>
        </w:tc>
        <w:tc>
          <w:tcPr>
            <w:tcW w:w="8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缺省值</w:t>
            </w:r>
          </w:p>
        </w:tc>
        <w:tc>
          <w:tcPr>
            <w:tcW w:w="169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FABF8F"/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szCs w:val="21"/>
              </w:rPr>
              <w:t>说明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检查</w:t>
            </w:r>
            <w:r>
              <w:rPr>
                <w:rFonts w:hint="eastAsia" w:asciiTheme="minorEastAsia" w:hAnsiTheme="minorEastAsia"/>
                <w:b/>
                <w:szCs w:val="21"/>
              </w:rPr>
              <w:t>/</w:t>
            </w:r>
            <w:r>
              <w:rPr>
                <w:rFonts w:hint="eastAsia" w:cs="宋体" w:asciiTheme="minorEastAsia" w:hAnsiTheme="minorEastAsia"/>
                <w:b/>
                <w:szCs w:val="21"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01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数据状态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02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所属机构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输出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点开本交易自动反显本机构代码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03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客户名称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04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客户编号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napToGrid w:val="0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05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分类等级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列表框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字符型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707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06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起始/结束日期</w:t>
            </w:r>
          </w:p>
        </w:tc>
        <w:tc>
          <w:tcPr>
            <w:tcW w:w="9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输入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文本框</w:t>
            </w:r>
          </w:p>
        </w:tc>
        <w:tc>
          <w:tcPr>
            <w:tcW w:w="11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数值型</w:t>
            </w:r>
          </w:p>
        </w:tc>
        <w:tc>
          <w:tcPr>
            <w:tcW w:w="8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6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pStyle w:val="16"/>
              <w:spacing w:line="240" w:lineRule="auto"/>
              <w:jc w:val="center"/>
              <w:rPr>
                <w:rFonts w:asciiTheme="minorEastAsia" w:hAnsiTheme="minorEastAsia"/>
                <w:snapToGrid w:val="0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输入项，终止日期要大于起始日期（查询日期范围不限）</w:t>
            </w:r>
          </w:p>
        </w:tc>
      </w:tr>
    </w:tbl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操作流程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1.主管柜员启动对公客户风险等级查询。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2.数据状态、分类等级根据需求选择；机构号码反显本机构号码（不能查询其他机构信息）；客户名称、客户编号按需求输入；起始终止日期范围不限，可按需求选择，（终止日期要大于起始日期）。确认录入信息无误后点击查询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3.查询结束后，点击退出。</w:t>
      </w:r>
    </w:p>
    <w:p>
      <w:pPr>
        <w:pStyle w:val="4"/>
        <w:numPr>
          <w:ilvl w:val="2"/>
          <w:numId w:val="2"/>
        </w:numPr>
        <w:ind w:left="422" w:hanging="422"/>
      </w:pPr>
      <w:r>
        <w:rPr>
          <w:rFonts w:hint="eastAsia"/>
        </w:rPr>
        <w:t>注意事项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1. 该交易只限伊通榆银村镇银行所属机构操作。</w:t>
      </w:r>
    </w:p>
    <w:p>
      <w:pPr>
        <w:widowControl w:val="0"/>
        <w:numPr>
          <w:ilvl w:val="0"/>
          <w:numId w:val="0"/>
        </w:numPr>
        <w:tabs>
          <w:tab w:val="left" w:pos="840"/>
        </w:tabs>
        <w:adjustRightInd/>
        <w:snapToGrid/>
        <w:spacing w:after="0"/>
        <w:ind w:firstLine="420"/>
        <w:jc w:val="both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 w:cs="Times New Roman"/>
          <w:sz w:val="21"/>
          <w:szCs w:val="21"/>
        </w:rPr>
        <w:t>2. 该交易无需授权。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27E32"/>
    <w:multiLevelType w:val="multilevel"/>
    <w:tmpl w:val="34E27E32"/>
    <w:lvl w:ilvl="0" w:tentative="0">
      <w:start w:val="1"/>
      <w:numFmt w:val="decimalZero"/>
      <w:suff w:val="nothing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  <w:rPr>
        <w:rFonts w:hint="eastAsia"/>
      </w:rPr>
    </w:lvl>
  </w:abstractNum>
  <w:abstractNum w:abstractNumId="1">
    <w:nsid w:val="416C17E4"/>
    <w:multiLevelType w:val="multilevel"/>
    <w:tmpl w:val="416C17E4"/>
    <w:lvl w:ilvl="0" w:tentative="0">
      <w:start w:val="1"/>
      <w:numFmt w:val="chineseCountingThousand"/>
      <w:pStyle w:val="2"/>
      <w:suff w:val="space"/>
      <w:lvlText w:val="第%1章"/>
      <w:lvlJc w:val="left"/>
      <w:pPr>
        <w:ind w:left="360" w:hanging="360"/>
      </w:pPr>
    </w:lvl>
    <w:lvl w:ilvl="1" w:tentative="0">
      <w:start w:val="1"/>
      <w:numFmt w:val="decimal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/>
        <w:sz w:val="21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eastAsia" w:ascii="宋体" w:hAnsi="宋体" w:eastAsia="宋体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720" w:hanging="720"/>
      </w:pPr>
      <w:rPr>
        <w:rFonts w:hint="eastAsia" w:ascii="宋体" w:hAnsi="宋体" w:eastAsia="宋体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1080" w:hanging="1080"/>
      </w:pPr>
      <w:rPr>
        <w:rFonts w:hint="eastAsia" w:ascii="宋体" w:hAnsi="宋体" w:eastAsia="宋体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1080" w:hanging="1080"/>
      </w:pPr>
      <w:rPr>
        <w:rFonts w:hint="eastAsia" w:ascii="宋体" w:hAnsi="宋体" w:eastAsia="宋体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</w:lvl>
  </w:abstractNum>
  <w:abstractNum w:abstractNumId="2">
    <w:nsid w:val="78354AD3"/>
    <w:multiLevelType w:val="multilevel"/>
    <w:tmpl w:val="78354AD3"/>
    <w:lvl w:ilvl="0" w:tentative="0">
      <w:start w:val="1"/>
      <w:numFmt w:val="decimalZero"/>
      <w:suff w:val="nothing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780" w:hanging="42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34C0C"/>
    <w:rsid w:val="00036602"/>
    <w:rsid w:val="000465B2"/>
    <w:rsid w:val="000479CF"/>
    <w:rsid w:val="00066B0F"/>
    <w:rsid w:val="00083CAF"/>
    <w:rsid w:val="00084BAB"/>
    <w:rsid w:val="00085FF1"/>
    <w:rsid w:val="000B7EFA"/>
    <w:rsid w:val="00141645"/>
    <w:rsid w:val="00146AB4"/>
    <w:rsid w:val="001B38FA"/>
    <w:rsid w:val="001C6D2B"/>
    <w:rsid w:val="001D162B"/>
    <w:rsid w:val="00214C7C"/>
    <w:rsid w:val="00215C45"/>
    <w:rsid w:val="00222507"/>
    <w:rsid w:val="00230041"/>
    <w:rsid w:val="00250E2A"/>
    <w:rsid w:val="002C4F3B"/>
    <w:rsid w:val="00302D03"/>
    <w:rsid w:val="00323B43"/>
    <w:rsid w:val="00332B52"/>
    <w:rsid w:val="00363A36"/>
    <w:rsid w:val="00365888"/>
    <w:rsid w:val="003C32C6"/>
    <w:rsid w:val="003C6200"/>
    <w:rsid w:val="003D37D8"/>
    <w:rsid w:val="003E7D97"/>
    <w:rsid w:val="00415E26"/>
    <w:rsid w:val="00426133"/>
    <w:rsid w:val="004358AB"/>
    <w:rsid w:val="00441D1C"/>
    <w:rsid w:val="004C2DC1"/>
    <w:rsid w:val="004F5E20"/>
    <w:rsid w:val="005330F0"/>
    <w:rsid w:val="00552574"/>
    <w:rsid w:val="00570D4F"/>
    <w:rsid w:val="005B641A"/>
    <w:rsid w:val="005C45CB"/>
    <w:rsid w:val="005D60F7"/>
    <w:rsid w:val="005E3440"/>
    <w:rsid w:val="0067351C"/>
    <w:rsid w:val="006B68F4"/>
    <w:rsid w:val="006F25AF"/>
    <w:rsid w:val="00726F49"/>
    <w:rsid w:val="00734173"/>
    <w:rsid w:val="0079028C"/>
    <w:rsid w:val="007B7F11"/>
    <w:rsid w:val="007D47D1"/>
    <w:rsid w:val="008170A5"/>
    <w:rsid w:val="00830C64"/>
    <w:rsid w:val="008318A4"/>
    <w:rsid w:val="008A7BF0"/>
    <w:rsid w:val="008B7726"/>
    <w:rsid w:val="008C67CF"/>
    <w:rsid w:val="009051D7"/>
    <w:rsid w:val="00911AAC"/>
    <w:rsid w:val="00912D5A"/>
    <w:rsid w:val="00917D08"/>
    <w:rsid w:val="009245A0"/>
    <w:rsid w:val="00930692"/>
    <w:rsid w:val="0094548D"/>
    <w:rsid w:val="00973A5E"/>
    <w:rsid w:val="00A42615"/>
    <w:rsid w:val="00A53E16"/>
    <w:rsid w:val="00A54146"/>
    <w:rsid w:val="00A85DAA"/>
    <w:rsid w:val="00A861D8"/>
    <w:rsid w:val="00A96152"/>
    <w:rsid w:val="00AA5034"/>
    <w:rsid w:val="00B105F4"/>
    <w:rsid w:val="00B21A3B"/>
    <w:rsid w:val="00B24F09"/>
    <w:rsid w:val="00B8062D"/>
    <w:rsid w:val="00BD209C"/>
    <w:rsid w:val="00C32200"/>
    <w:rsid w:val="00C60085"/>
    <w:rsid w:val="00C74863"/>
    <w:rsid w:val="00CC027C"/>
    <w:rsid w:val="00CF0742"/>
    <w:rsid w:val="00D01AD4"/>
    <w:rsid w:val="00D03AF9"/>
    <w:rsid w:val="00D05E4E"/>
    <w:rsid w:val="00D31D50"/>
    <w:rsid w:val="00D51853"/>
    <w:rsid w:val="00D635C6"/>
    <w:rsid w:val="00D87B55"/>
    <w:rsid w:val="00D96FCC"/>
    <w:rsid w:val="00DB7C24"/>
    <w:rsid w:val="00E1525F"/>
    <w:rsid w:val="00E920C8"/>
    <w:rsid w:val="00EE59E7"/>
    <w:rsid w:val="00F12295"/>
    <w:rsid w:val="00F21D5D"/>
    <w:rsid w:val="00F22675"/>
    <w:rsid w:val="00F23C7E"/>
    <w:rsid w:val="00F336CC"/>
    <w:rsid w:val="00F575E2"/>
    <w:rsid w:val="00FC30E5"/>
    <w:rsid w:val="00FD0DBC"/>
    <w:rsid w:val="00FE6AE3"/>
    <w:rsid w:val="00FF08B7"/>
    <w:rsid w:val="02F250D4"/>
    <w:rsid w:val="06AF190D"/>
    <w:rsid w:val="09410B1F"/>
    <w:rsid w:val="0AB42B32"/>
    <w:rsid w:val="0D910CF7"/>
    <w:rsid w:val="0F342098"/>
    <w:rsid w:val="10791364"/>
    <w:rsid w:val="121E68AD"/>
    <w:rsid w:val="1901012A"/>
    <w:rsid w:val="237C3B12"/>
    <w:rsid w:val="23A01B0A"/>
    <w:rsid w:val="25CD7E99"/>
    <w:rsid w:val="2B153770"/>
    <w:rsid w:val="31EC2EA9"/>
    <w:rsid w:val="3C1C0152"/>
    <w:rsid w:val="3F8342F0"/>
    <w:rsid w:val="46114126"/>
    <w:rsid w:val="4B8D6A00"/>
    <w:rsid w:val="4CA34557"/>
    <w:rsid w:val="4DB43E65"/>
    <w:rsid w:val="4DC06D2A"/>
    <w:rsid w:val="518D4205"/>
    <w:rsid w:val="564045C9"/>
    <w:rsid w:val="58FD344A"/>
    <w:rsid w:val="5C9A533F"/>
    <w:rsid w:val="5CB95F53"/>
    <w:rsid w:val="5D390FF1"/>
    <w:rsid w:val="60063744"/>
    <w:rsid w:val="6B207001"/>
    <w:rsid w:val="6B3A0345"/>
    <w:rsid w:val="6DCD1221"/>
    <w:rsid w:val="718E7FFD"/>
    <w:rsid w:val="741B36F9"/>
    <w:rsid w:val="749014DA"/>
    <w:rsid w:val="7AE07F1D"/>
    <w:rsid w:val="7DD81CCC"/>
    <w:rsid w:val="7E1D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widowControl w:val="0"/>
      <w:numPr>
        <w:ilvl w:val="0"/>
        <w:numId w:val="1"/>
      </w:numPr>
      <w:adjustRightInd/>
      <w:snapToGrid/>
      <w:spacing w:before="340" w:after="330"/>
      <w:jc w:val="center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widowControl w:val="0"/>
      <w:tabs>
        <w:tab w:val="left" w:pos="851"/>
      </w:tabs>
      <w:adjustRightInd/>
      <w:snapToGrid/>
      <w:spacing w:after="0"/>
      <w:ind w:left="720" w:hanging="720"/>
      <w:jc w:val="both"/>
      <w:outlineLvl w:val="2"/>
    </w:pPr>
    <w:rPr>
      <w:rFonts w:ascii="宋体" w:hAnsi="宋体" w:eastAsia="宋体" w:cs="宋体"/>
      <w:b/>
      <w:bCs/>
      <w:sz w:val="21"/>
      <w:szCs w:val="21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widowControl w:val="0"/>
      <w:tabs>
        <w:tab w:val="left" w:pos="993"/>
      </w:tabs>
      <w:adjustRightInd/>
      <w:snapToGrid/>
      <w:spacing w:after="0"/>
      <w:ind w:left="1429" w:hanging="720"/>
      <w:jc w:val="both"/>
      <w:outlineLvl w:val="3"/>
    </w:pPr>
    <w:rPr>
      <w:rFonts w:ascii="宋体" w:hAnsi="宋体" w:eastAsia="宋体" w:cs="宋体"/>
      <w:sz w:val="21"/>
      <w:szCs w:val="21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widowControl w:val="0"/>
      <w:adjustRightInd/>
      <w:snapToGrid/>
      <w:spacing w:before="280" w:after="290" w:line="374" w:lineRule="auto"/>
      <w:jc w:val="both"/>
      <w:outlineLvl w:val="4"/>
    </w:pPr>
    <w:rPr>
      <w:rFonts w:ascii="Calibri" w:hAnsi="Calibri" w:eastAsia="宋体" w:cs="宋体"/>
      <w:b/>
      <w:bCs/>
      <w:sz w:val="20"/>
      <w:szCs w:val="28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widowControl w:val="0"/>
      <w:adjustRightInd/>
      <w:snapToGrid/>
      <w:spacing w:before="240" w:after="64" w:line="319" w:lineRule="auto"/>
      <w:jc w:val="both"/>
      <w:outlineLvl w:val="5"/>
    </w:pPr>
    <w:rPr>
      <w:rFonts w:ascii="Cambria" w:hAnsi="Cambria" w:eastAsia="宋体" w:cs="宋体"/>
      <w:b/>
      <w:bCs/>
      <w:sz w:val="24"/>
      <w:szCs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ocument Map"/>
    <w:basedOn w:val="1"/>
    <w:link w:val="18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10">
    <w:name w:val="footer"/>
    <w:basedOn w:val="1"/>
    <w:link w:val="21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1">
    <w:name w:val="header"/>
    <w:basedOn w:val="1"/>
    <w:link w:val="2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表内容 Char"/>
    <w:link w:val="16"/>
    <w:qFormat/>
    <w:uiPriority w:val="0"/>
    <w:rPr>
      <w:rFonts w:eastAsiaTheme="minorEastAsia"/>
      <w:kern w:val="2"/>
      <w:sz w:val="21"/>
    </w:rPr>
  </w:style>
  <w:style w:type="paragraph" w:customStyle="1" w:styleId="16">
    <w:name w:val="表内容"/>
    <w:basedOn w:val="1"/>
    <w:link w:val="15"/>
    <w:qFormat/>
    <w:uiPriority w:val="0"/>
    <w:pPr>
      <w:widowControl w:val="0"/>
      <w:adjustRightInd/>
      <w:snapToGrid/>
      <w:spacing w:after="0" w:line="360" w:lineRule="auto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7">
    <w:name w:val="批注框文本 Char"/>
    <w:basedOn w:val="13"/>
    <w:link w:val="9"/>
    <w:semiHidden/>
    <w:qFormat/>
    <w:uiPriority w:val="99"/>
    <w:rPr>
      <w:rFonts w:ascii="Tahoma" w:hAnsi="Tahoma"/>
      <w:sz w:val="18"/>
      <w:szCs w:val="18"/>
    </w:rPr>
  </w:style>
  <w:style w:type="character" w:customStyle="1" w:styleId="18">
    <w:name w:val="文档结构图 Char"/>
    <w:basedOn w:val="13"/>
    <w:link w:val="8"/>
    <w:semiHidden/>
    <w:qFormat/>
    <w:uiPriority w:val="99"/>
    <w:rPr>
      <w:rFonts w:ascii="宋体" w:hAnsi="Tahoma" w:eastAsia="宋体"/>
      <w:sz w:val="18"/>
      <w:szCs w:val="18"/>
    </w:rPr>
  </w:style>
  <w:style w:type="character" w:customStyle="1" w:styleId="19">
    <w:name w:val="spanvalue"/>
    <w:basedOn w:val="13"/>
    <w:qFormat/>
    <w:uiPriority w:val="0"/>
  </w:style>
  <w:style w:type="character" w:customStyle="1" w:styleId="20">
    <w:name w:val="页眉 Char"/>
    <w:basedOn w:val="13"/>
    <w:link w:val="11"/>
    <w:semiHidden/>
    <w:qFormat/>
    <w:uiPriority w:val="99"/>
    <w:rPr>
      <w:rFonts w:ascii="Tahoma" w:hAnsi="Tahoma"/>
      <w:sz w:val="18"/>
      <w:szCs w:val="18"/>
    </w:rPr>
  </w:style>
  <w:style w:type="character" w:customStyle="1" w:styleId="21">
    <w:name w:val="页脚 Char"/>
    <w:basedOn w:val="13"/>
    <w:link w:val="10"/>
    <w:semiHidden/>
    <w:uiPriority w:val="99"/>
    <w:rPr>
      <w:rFonts w:ascii="Tahoma" w:hAnsi="Tahoma"/>
      <w:sz w:val="18"/>
      <w:szCs w:val="18"/>
    </w:rPr>
  </w:style>
  <w:style w:type="character" w:customStyle="1" w:styleId="22">
    <w:name w:val="标题 1 Char"/>
    <w:basedOn w:val="13"/>
    <w:link w:val="2"/>
    <w:uiPriority w:val="9"/>
    <w:rPr>
      <w:rFonts w:ascii="宋体" w:hAnsi="宋体" w:eastAsia="宋体" w:cs="宋体"/>
      <w:b/>
      <w:bCs/>
      <w:color w:val="000000"/>
      <w:kern w:val="44"/>
      <w:sz w:val="32"/>
      <w:szCs w:val="32"/>
    </w:rPr>
  </w:style>
  <w:style w:type="character" w:customStyle="1" w:styleId="23">
    <w:name w:val="标题 2 Char"/>
    <w:basedOn w:val="13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Char"/>
    <w:basedOn w:val="13"/>
    <w:link w:val="4"/>
    <w:uiPriority w:val="0"/>
    <w:rPr>
      <w:rFonts w:ascii="宋体" w:hAnsi="宋体" w:eastAsia="宋体" w:cs="宋体"/>
      <w:b/>
      <w:bCs/>
      <w:sz w:val="21"/>
      <w:szCs w:val="21"/>
    </w:rPr>
  </w:style>
  <w:style w:type="character" w:customStyle="1" w:styleId="25">
    <w:name w:val="标题 4 Char"/>
    <w:basedOn w:val="13"/>
    <w:link w:val="5"/>
    <w:semiHidden/>
    <w:uiPriority w:val="9"/>
    <w:rPr>
      <w:rFonts w:ascii="宋体" w:hAnsi="宋体" w:eastAsia="宋体" w:cs="宋体"/>
      <w:sz w:val="21"/>
      <w:szCs w:val="21"/>
    </w:rPr>
  </w:style>
  <w:style w:type="character" w:customStyle="1" w:styleId="26">
    <w:name w:val="标题 5 Char"/>
    <w:basedOn w:val="13"/>
    <w:link w:val="6"/>
    <w:semiHidden/>
    <w:uiPriority w:val="9"/>
    <w:rPr>
      <w:rFonts w:ascii="Calibri" w:hAnsi="Calibri" w:eastAsia="宋体" w:cs="宋体"/>
      <w:b/>
      <w:bCs/>
      <w:szCs w:val="28"/>
    </w:rPr>
  </w:style>
  <w:style w:type="character" w:customStyle="1" w:styleId="27">
    <w:name w:val="标题 6 Char"/>
    <w:basedOn w:val="13"/>
    <w:link w:val="7"/>
    <w:semiHidden/>
    <w:uiPriority w:val="9"/>
    <w:rPr>
      <w:rFonts w:ascii="Cambria" w:hAnsi="Cambria" w:eastAsia="宋体" w:cs="宋体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2239C6-369C-487D-9E6E-7956C59537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</Words>
  <Characters>1364</Characters>
  <Lines>11</Lines>
  <Paragraphs>3</Paragraphs>
  <TotalTime>0</TotalTime>
  <ScaleCrop>false</ScaleCrop>
  <LinksUpToDate>false</LinksUpToDate>
  <CharactersWithSpaces>1600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2022-01-24T02:01:00Z</dcterms:created>
  <dc:creator>Administrator</dc:creator>
  <cp:lastModifiedBy>Administrator</cp:lastModifiedBy>
  <dcterms:modified xsi:type="dcterms:W3CDTF">2022-01-24T07:09:36Z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