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19050" t="0" r="0" b="0"/>
            <wp:docPr id="9"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bookmarkStart w:id="0" w:name="_GoBack"/>
      <w:bookmarkEnd w:id="0"/>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
      <w:pPr>
        <w:widowControl/>
        <w:jc w:val="center"/>
        <w:rPr>
          <w:sz w:val="32"/>
        </w:rPr>
      </w:pPr>
    </w:p>
    <w:p>
      <w:pPr>
        <w:pStyle w:val="2"/>
        <w:numPr>
          <w:ilvl w:val="0"/>
          <w:numId w:val="0"/>
        </w:numPr>
        <w:ind w:left="643"/>
        <w:rPr>
          <w:rFonts w:cs="宋体"/>
          <w:color w:val="auto"/>
        </w:rPr>
      </w:pPr>
      <w:r>
        <w:rPr>
          <w:rFonts w:hint="eastAsia"/>
          <w:color w:val="auto"/>
        </w:rPr>
        <w:t>抵债资产</w:t>
      </w:r>
    </w:p>
    <w:p>
      <w:pPr>
        <w:pStyle w:val="3"/>
        <w:numPr>
          <w:ilvl w:val="0"/>
          <w:numId w:val="0"/>
        </w:numPr>
        <w:spacing w:after="0" w:line="240" w:lineRule="auto"/>
        <w:ind w:left="422"/>
      </w:pPr>
      <w:r>
        <w:rPr>
          <w:rFonts w:hint="eastAsia"/>
        </w:rPr>
        <w:t>抵债资产登记</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抵债资产登记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本交易用于抵债资产信息的登记。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抵债物取得通知单</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操作界面１：</w:t>
      </w:r>
    </w:p>
    <w:p>
      <w:pPr>
        <w:rPr>
          <w:rFonts w:ascii="宋体" w:hAnsi="宋体"/>
        </w:rPr>
      </w:pPr>
      <w:r>
        <w:rPr>
          <w:rFonts w:ascii="宋体" w:hAnsi="宋体"/>
        </w:rPr>
        <w:drawing>
          <wp:inline distT="0" distB="0" distL="0" distR="0">
            <wp:extent cx="6120130" cy="4510405"/>
            <wp:effectExtent l="19050" t="0" r="0" b="0"/>
            <wp:docPr id="30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28"/>
                    <pic:cNvPicPr>
                      <a:picLocks noChangeAspect="1" noChangeArrowheads="1"/>
                    </pic:cNvPicPr>
                  </pic:nvPicPr>
                  <pic:blipFill>
                    <a:blip r:embed="rId7"/>
                    <a:srcRect/>
                    <a:stretch>
                      <a:fillRect/>
                    </a:stretch>
                  </pic:blipFill>
                  <pic:spPr>
                    <a:xfrm>
                      <a:off x="0" y="0"/>
                      <a:ext cx="6120130" cy="451077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必输项，输入拥有抵债物所有权或处分权的客户号。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5"/>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rPr>
              <w:t>必输项。</w:t>
            </w:r>
          </w:p>
        </w:tc>
      </w:tr>
    </w:tbl>
    <w:p>
      <w:pPr>
        <w:rPr>
          <w:rFonts w:ascii="宋体" w:hAnsi="宋体"/>
          <w:b/>
          <w:kern w:val="0"/>
        </w:rPr>
      </w:pPr>
      <w:r>
        <w:rPr>
          <w:rFonts w:hint="eastAsia" w:ascii="宋体" w:hAnsi="宋体"/>
          <w:b/>
          <w:kern w:val="0"/>
        </w:rPr>
        <w:t>操作界面2：（抵债物类型为土地使用权）</w:t>
      </w:r>
    </w:p>
    <w:p>
      <w:pPr>
        <w:rPr>
          <w:rFonts w:ascii="宋体" w:hAnsi="宋体"/>
        </w:rPr>
      </w:pPr>
      <w:r>
        <w:rPr>
          <w:rFonts w:ascii="宋体" w:hAnsi="宋体"/>
        </w:rPr>
        <w:drawing>
          <wp:inline distT="0" distB="0" distL="0" distR="0">
            <wp:extent cx="6120130" cy="4511675"/>
            <wp:effectExtent l="19050" t="0" r="0" b="0"/>
            <wp:docPr id="30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1"/>
                    <pic:cNvPicPr>
                      <a:picLocks noChangeAspect="1" noChangeArrowheads="1"/>
                    </pic:cNvPicPr>
                  </pic:nvPicPr>
                  <pic:blipFill>
                    <a:blip r:embed="rId8"/>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栏位说明2：（抵债物类型为土地使用权）</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6"/>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必输项，核算抵债资产的内部账账号,一般为129010科目下的内部账号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选输项，核算抵债金额超出贷款本息的内部账账号。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必输项，输入抵债物所处的位置。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必输项，输入抵债物面积。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必输项，输入土地使用权证发证机构名称或代码。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土地使用权证件号码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必输项，输入土地使用权证件号码。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6"/>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使用权到期日</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必输项，输入土地使用权到期日期。</w:t>
            </w:r>
          </w:p>
        </w:tc>
      </w:tr>
    </w:tbl>
    <w:p>
      <w:pPr>
        <w:rPr>
          <w:rFonts w:ascii="宋体" w:hAnsi="宋体"/>
          <w:b/>
          <w:kern w:val="0"/>
        </w:rPr>
      </w:pPr>
      <w:r>
        <w:rPr>
          <w:rFonts w:hint="eastAsia" w:ascii="宋体" w:hAnsi="宋体"/>
          <w:b/>
          <w:kern w:val="0"/>
        </w:rPr>
        <w:t>操作界面3：（抵债物类型为房屋及建筑物）</w:t>
      </w:r>
    </w:p>
    <w:p>
      <w:pPr>
        <w:rPr>
          <w:rFonts w:ascii="宋体" w:hAnsi="宋体"/>
        </w:rPr>
      </w:pPr>
      <w:r>
        <w:rPr>
          <w:rFonts w:ascii="宋体" w:hAnsi="宋体"/>
        </w:rPr>
        <w:drawing>
          <wp:inline distT="0" distB="0" distL="0" distR="0">
            <wp:extent cx="6120130" cy="6127115"/>
            <wp:effectExtent l="19050" t="0" r="0" b="0"/>
            <wp:docPr id="3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4"/>
                    <pic:cNvPicPr>
                      <a:picLocks noChangeAspect="1" noChangeArrowheads="1"/>
                    </pic:cNvPicPr>
                  </pic:nvPicPr>
                  <pic:blipFill>
                    <a:blip r:embed="rId9"/>
                    <a:srcRect/>
                    <a:stretch>
                      <a:fillRect/>
                    </a:stretch>
                  </pic:blipFill>
                  <pic:spPr>
                    <a:xfrm>
                      <a:off x="0" y="0"/>
                      <a:ext cx="6120130" cy="6127630"/>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栏位说明3：（抵债物类型为房屋及建筑物）</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必输项，输入抵债物所处的位置。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必输项，输入抵债物面积。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必输项，输入房产证件的发证机构名称或代码。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房屋类型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产权证号码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必输项，输入房产证件号码。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产权到期日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必输项，输入房产证件到期日期。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选输项，输入房屋使用年限。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选输项，输入保险单编号。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7"/>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选输项，输入保险公司名称或代码。</w:t>
            </w:r>
          </w:p>
        </w:tc>
      </w:tr>
    </w:tbl>
    <w:p>
      <w:pPr>
        <w:rPr>
          <w:rFonts w:ascii="宋体" w:hAnsi="宋体"/>
          <w:b/>
          <w:kern w:val="0"/>
        </w:rPr>
      </w:pPr>
      <w:r>
        <w:rPr>
          <w:rFonts w:hint="eastAsia" w:ascii="宋体" w:hAnsi="宋体"/>
          <w:b/>
          <w:kern w:val="0"/>
        </w:rPr>
        <w:t>操作界面4：（抵债物类型为林木）</w:t>
      </w:r>
    </w:p>
    <w:p>
      <w:pPr>
        <w:rPr>
          <w:rFonts w:ascii="宋体" w:hAnsi="宋体"/>
        </w:rPr>
      </w:pPr>
      <w:r>
        <w:rPr>
          <w:rFonts w:ascii="宋体" w:hAnsi="宋体"/>
        </w:rPr>
        <w:drawing>
          <wp:inline distT="0" distB="0" distL="0" distR="0">
            <wp:extent cx="6120130" cy="6127115"/>
            <wp:effectExtent l="19050" t="0" r="0" b="0"/>
            <wp:docPr id="30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7"/>
                    <pic:cNvPicPr>
                      <a:picLocks noChangeAspect="1" noChangeArrowheads="1"/>
                    </pic:cNvPicPr>
                  </pic:nvPicPr>
                  <pic:blipFill>
                    <a:blip r:embed="rId10"/>
                    <a:srcRect/>
                    <a:stretch>
                      <a:fillRect/>
                    </a:stretch>
                  </pic:blipFill>
                  <pic:spPr>
                    <a:xfrm>
                      <a:off x="0" y="0"/>
                      <a:ext cx="6120130" cy="612763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栏位说明4：（抵债物类型为林木）</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必输项，输入抵债物所处的位置。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必输项，输入抵债物面积。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必输项，输入林权证件的发证机构名称或代码。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林权证件号码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必输项，输入林权证件号码。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必输项，输入合同到期日期。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选输项，输入保险单编号。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8"/>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选输项，输入保险公司名称或代码。</w:t>
            </w:r>
          </w:p>
        </w:tc>
      </w:tr>
    </w:tbl>
    <w:p>
      <w:pPr>
        <w:rPr>
          <w:rFonts w:ascii="宋体" w:hAnsi="宋体"/>
          <w:b/>
          <w:kern w:val="0"/>
        </w:rPr>
      </w:pPr>
      <w:r>
        <w:rPr>
          <w:rFonts w:hint="eastAsia" w:ascii="宋体" w:hAnsi="宋体"/>
          <w:b/>
          <w:kern w:val="0"/>
        </w:rPr>
        <w:t>操作界面5：（抵债物类型为交通工具）</w:t>
      </w:r>
    </w:p>
    <w:p>
      <w:pPr>
        <w:rPr>
          <w:rFonts w:ascii="宋体" w:hAnsi="宋体"/>
        </w:rPr>
      </w:pPr>
      <w:r>
        <w:rPr>
          <w:rFonts w:ascii="宋体" w:hAnsi="宋体"/>
        </w:rPr>
        <w:drawing>
          <wp:inline distT="0" distB="0" distL="0" distR="0">
            <wp:extent cx="6120130" cy="6127115"/>
            <wp:effectExtent l="19050" t="0" r="0" b="0"/>
            <wp:docPr id="30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40"/>
                    <pic:cNvPicPr>
                      <a:picLocks noChangeAspect="1" noChangeArrowheads="1"/>
                    </pic:cNvPicPr>
                  </pic:nvPicPr>
                  <pic:blipFill>
                    <a:blip r:embed="rId11"/>
                    <a:srcRect/>
                    <a:stretch>
                      <a:fillRect/>
                    </a:stretch>
                  </pic:blipFill>
                  <pic:spPr>
                    <a:xfrm>
                      <a:off x="0" y="0"/>
                      <a:ext cx="6120130" cy="6127630"/>
                    </a:xfrm>
                    <a:prstGeom prst="rect">
                      <a:avLst/>
                    </a:prstGeom>
                    <a:noFill/>
                    <a:ln w="9525">
                      <a:noFill/>
                      <a:miter lim="800000"/>
                      <a:headEnd/>
                      <a:tailEnd/>
                    </a:ln>
                  </pic:spPr>
                </pic:pic>
              </a:graphicData>
            </a:graphic>
          </wp:inline>
        </w:drawing>
      </w:r>
    </w:p>
    <w:p>
      <w:pPr>
        <w:rPr>
          <w:rFonts w:ascii="宋体" w:hAnsi="宋体"/>
        </w:rPr>
      </w:pPr>
    </w:p>
    <w:p>
      <w:pPr>
        <w:rPr>
          <w:rFonts w:ascii="宋体" w:hAnsi="宋体"/>
          <w:b/>
          <w:kern w:val="0"/>
        </w:rPr>
      </w:pPr>
      <w:r>
        <w:rPr>
          <w:rFonts w:hint="eastAsia" w:ascii="宋体" w:hAnsi="宋体"/>
          <w:b/>
          <w:kern w:val="0"/>
        </w:rPr>
        <w:t>栏位说明5：（抵债物类型为交通工具）</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9"/>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选输项，输入牌照或行车证的发证机构名称或代码。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选输项，输入交通工具使用年限。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牌照号码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必输项，输入交通工具牌照号码。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引擎号码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选输项，输入交通工具引擎号码。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车体号码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必输项，输入交通工具车体号码。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机动车辆登记号码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选输项，输入交通工具在交警等部门登记的号码。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运营证号码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选输项，输入交通工具运营证号码。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运营证到期日期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输项，输入交通工具运营证到期日期。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发票号码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选输项，输入购买交通工具发票号码。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选输项，输入保险单编号。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9"/>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选输项，输入保险公司名称或代码。</w:t>
            </w:r>
          </w:p>
        </w:tc>
      </w:tr>
    </w:tbl>
    <w:p>
      <w:pPr>
        <w:rPr>
          <w:rFonts w:ascii="宋体" w:hAnsi="宋体"/>
          <w:b/>
          <w:kern w:val="0"/>
        </w:rPr>
      </w:pPr>
      <w:r>
        <w:rPr>
          <w:rFonts w:hint="eastAsia" w:ascii="宋体" w:hAnsi="宋体"/>
          <w:b/>
          <w:kern w:val="0"/>
        </w:rPr>
        <w:t>栏位说明6：（抵债物类型为机械设备）</w:t>
      </w:r>
    </w:p>
    <w:p>
      <w:pPr>
        <w:rPr>
          <w:rFonts w:ascii="宋体" w:hAnsi="宋体"/>
        </w:rPr>
      </w:pPr>
      <w:r>
        <w:rPr>
          <w:rFonts w:ascii="宋体" w:hAnsi="宋体"/>
        </w:rPr>
        <w:drawing>
          <wp:inline distT="0" distB="0" distL="0" distR="0">
            <wp:extent cx="6120130" cy="6127115"/>
            <wp:effectExtent l="19050" t="0" r="0" b="0"/>
            <wp:docPr id="30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43"/>
                    <pic:cNvPicPr>
                      <a:picLocks noChangeAspect="1" noChangeArrowheads="1"/>
                    </pic:cNvPicPr>
                  </pic:nvPicPr>
                  <pic:blipFill>
                    <a:blip r:embed="rId12"/>
                    <a:srcRect/>
                    <a:stretch>
                      <a:fillRect/>
                    </a:stretch>
                  </pic:blipFill>
                  <pic:spPr>
                    <a:xfrm>
                      <a:off x="0" y="0"/>
                      <a:ext cx="6120130" cy="612763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栏位说明6：（抵债物类型为机械设备）</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10"/>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规格型号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必输项，输入机器设备规格型号。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使用类型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必输项，输入机器设备所处的位置。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发票号码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选输项，输入购买机器设备发票号码。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选输项，输入机器设备使用年限。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选输项，输入保险单编号。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10"/>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选输项，输入保险公司名称或代码。</w:t>
            </w:r>
          </w:p>
        </w:tc>
      </w:tr>
    </w:tbl>
    <w:p>
      <w:pPr>
        <w:rPr>
          <w:rFonts w:ascii="宋体" w:hAnsi="宋体"/>
          <w:b/>
          <w:kern w:val="0"/>
        </w:rPr>
      </w:pPr>
      <w:r>
        <w:rPr>
          <w:rFonts w:hint="eastAsia" w:ascii="宋体" w:hAnsi="宋体"/>
          <w:b/>
          <w:kern w:val="0"/>
        </w:rPr>
        <w:t>操作界面7：（抵债物类型为权利凭证）</w:t>
      </w:r>
    </w:p>
    <w:p>
      <w:pPr>
        <w:rPr>
          <w:rFonts w:ascii="宋体" w:hAnsi="宋体"/>
        </w:rPr>
      </w:pPr>
      <w:r>
        <w:rPr>
          <w:rFonts w:ascii="宋体" w:hAnsi="宋体"/>
        </w:rPr>
        <w:drawing>
          <wp:inline distT="0" distB="0" distL="0" distR="0">
            <wp:extent cx="6120130" cy="4511675"/>
            <wp:effectExtent l="19050" t="0" r="0" b="0"/>
            <wp:docPr id="30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46"/>
                    <pic:cNvPicPr>
                      <a:picLocks noChangeAspect="1" noChangeArrowheads="1"/>
                    </pic:cNvPicPr>
                  </pic:nvPicPr>
                  <pic:blipFill>
                    <a:blip r:embed="rId13"/>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栏位说明7：（抵债物类型为权利凭证）</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11"/>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券面总额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必输项，输入票据总面值。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选输项，输入票据号码。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11"/>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票据到期日</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ind w:firstLine="105" w:firstLineChars="50"/>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选输项，输入票据到期日期。</w:t>
            </w:r>
          </w:p>
        </w:tc>
      </w:tr>
    </w:tbl>
    <w:p>
      <w:pPr>
        <w:rPr>
          <w:rFonts w:ascii="宋体" w:hAnsi="宋体"/>
          <w:b/>
          <w:kern w:val="0"/>
        </w:rPr>
      </w:pPr>
      <w:r>
        <w:rPr>
          <w:rFonts w:hint="eastAsia" w:ascii="宋体" w:hAnsi="宋体"/>
          <w:b/>
          <w:kern w:val="0"/>
        </w:rPr>
        <w:t>操作界面8：（抵债物类型为其他）</w:t>
      </w:r>
    </w:p>
    <w:p>
      <w:pPr>
        <w:rPr>
          <w:rFonts w:ascii="宋体" w:hAnsi="宋体"/>
        </w:rPr>
      </w:pPr>
      <w:r>
        <w:rPr>
          <w:rFonts w:ascii="宋体" w:hAnsi="宋体"/>
        </w:rPr>
        <w:drawing>
          <wp:inline distT="0" distB="0" distL="0" distR="0">
            <wp:extent cx="6120130" cy="6127115"/>
            <wp:effectExtent l="19050" t="0" r="0" b="0"/>
            <wp:docPr id="30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49"/>
                    <pic:cNvPicPr>
                      <a:picLocks noChangeAspect="1" noChangeArrowheads="1"/>
                    </pic:cNvPicPr>
                  </pic:nvPicPr>
                  <pic:blipFill>
                    <a:blip r:embed="rId14"/>
                    <a:srcRect/>
                    <a:stretch>
                      <a:fillRect/>
                    </a:stretch>
                  </pic:blipFill>
                  <pic:spPr>
                    <a:xfrm>
                      <a:off x="0" y="0"/>
                      <a:ext cx="6120130" cy="612763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栏位说明8：（抵债物类型为其他）</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12"/>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r>
              <w:rPr>
                <w:rFonts w:hint="eastAsia" w:ascii="宋体" w:hAnsi="宋体"/>
                <w:bCs/>
              </w:rPr>
              <w:t>“客户号码”栏应输入抵债物有处置权或所有权的客户号，抵债物所有人指借款人或者是为借款人提供担保的第三方，如果系统中没有客户信息，应建立客户信息记录客户号码。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必输项，输入协商议定的抵债物价值。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选输项，输入应该由银行承担的各种支出。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选输项，输入银行代替借款人垫付的各种支出。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必输项，抵偿银行债权的金额。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选输项，对抵债物进行评估的机构名称或代码。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选输项，对抵债物进行评估的日期。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必输项，核算抵债资产的内部账账号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选输项，核算表外利息的内部账账号。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选输项，核算抵债总额超出贷款本息的内部账账号。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规格型号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选输项，输入抵债物规格型号。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选输项，输入抵债物票据证件号码。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票据证件到期日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选输项，输入抵债物票据证件到期日。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选输项，输入抵债物面积。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选输项，输入抵债物已使用年限。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选输项，输入抵债物所处的位置。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选输项，输入保险单编号。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选输项，输入保险到期日。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12"/>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选输项，输入保险公司名称或代码。</w:t>
            </w:r>
          </w:p>
        </w:tc>
      </w:tr>
    </w:tbl>
    <w:p>
      <w:pPr>
        <w:pStyle w:val="4"/>
        <w:numPr>
          <w:ilvl w:val="2"/>
          <w:numId w:val="4"/>
        </w:numPr>
        <w:ind w:left="422" w:hanging="422"/>
        <w:rPr>
          <w:rFonts w:cs="宋体"/>
        </w:rPr>
      </w:pPr>
      <w:r>
        <w:rPr>
          <w:rFonts w:hint="eastAsia"/>
        </w:rPr>
        <w:t>操作流程</w:t>
      </w:r>
    </w:p>
    <w:p>
      <w:pPr>
        <w:numPr>
          <w:ilvl w:val="0"/>
          <w:numId w:val="13"/>
        </w:numPr>
        <w:rPr>
          <w:rFonts w:ascii="宋体" w:hAnsi="宋体"/>
          <w:kern w:val="0"/>
        </w:rPr>
      </w:pPr>
      <w:r>
        <w:rPr>
          <w:rFonts w:hint="eastAsia" w:ascii="宋体" w:hAnsi="宋体"/>
          <w:kern w:val="0"/>
        </w:rPr>
        <w:t>柜员根据人民法院判决、裁定书或借款人、贷款人、担保人三方协商并签订具有法律效力的协议书及上级部门批准的审批表等资料，启动抵债资产登记（427100）交易。</w:t>
      </w:r>
    </w:p>
    <w:p>
      <w:pPr>
        <w:numPr>
          <w:ilvl w:val="0"/>
          <w:numId w:val="13"/>
        </w:numPr>
        <w:rPr>
          <w:rFonts w:ascii="宋体" w:hAnsi="宋体"/>
          <w:kern w:val="0"/>
        </w:rPr>
      </w:pPr>
      <w:r>
        <w:rPr>
          <w:rFonts w:hint="eastAsia" w:ascii="宋体" w:hAnsi="宋体"/>
          <w:kern w:val="0"/>
        </w:rPr>
        <w:t>柜员输入客户号码、抵债物类型等要素后提交，系统提示由05级主管柜员授权。</w:t>
      </w:r>
    </w:p>
    <w:p>
      <w:pPr>
        <w:numPr>
          <w:ilvl w:val="0"/>
          <w:numId w:val="13"/>
        </w:numPr>
        <w:rPr>
          <w:rFonts w:ascii="宋体" w:hAnsi="宋体"/>
          <w:kern w:val="0"/>
        </w:rPr>
      </w:pPr>
      <w:r>
        <w:rPr>
          <w:rFonts w:hint="eastAsia" w:ascii="宋体" w:hAnsi="宋体"/>
          <w:kern w:val="0"/>
        </w:rPr>
        <w:t>经授权成功后，柜员按系统提示打印抵债物取得通知单，系统自动生成抵债资产编号。</w:t>
      </w:r>
    </w:p>
    <w:p>
      <w:pPr>
        <w:numPr>
          <w:ilvl w:val="0"/>
          <w:numId w:val="13"/>
        </w:numPr>
        <w:rPr>
          <w:rFonts w:ascii="宋体" w:hAnsi="宋体"/>
          <w:kern w:val="0"/>
        </w:rPr>
      </w:pPr>
      <w:r>
        <w:rPr>
          <w:rFonts w:hint="eastAsia" w:ascii="宋体" w:hAnsi="宋体"/>
          <w:kern w:val="0"/>
        </w:rPr>
        <w:t>柜员在抵债物取得通知单上加盖业务讫章，入传票管理。</w:t>
      </w:r>
    </w:p>
    <w:p>
      <w:pPr>
        <w:numPr>
          <w:ilvl w:val="0"/>
          <w:numId w:val="13"/>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14"/>
        </w:numPr>
        <w:rPr>
          <w:rFonts w:ascii="宋体" w:hAnsi="宋体"/>
          <w:kern w:val="0"/>
        </w:rPr>
      </w:pPr>
      <w:r>
        <w:rPr>
          <w:rFonts w:hint="eastAsia" w:ascii="宋体" w:hAnsi="宋体"/>
          <w:kern w:val="0"/>
        </w:rPr>
        <w:t>本交易仅适用于未上信贷管理系统的机构。</w:t>
      </w:r>
    </w:p>
    <w:p>
      <w:pPr>
        <w:numPr>
          <w:ilvl w:val="0"/>
          <w:numId w:val="14"/>
        </w:numPr>
        <w:rPr>
          <w:rFonts w:ascii="宋体" w:hAnsi="宋体"/>
          <w:kern w:val="0"/>
        </w:rPr>
      </w:pPr>
      <w:r>
        <w:rPr>
          <w:rFonts w:hint="eastAsia" w:ascii="宋体" w:hAnsi="宋体"/>
          <w:kern w:val="0"/>
        </w:rPr>
        <w:t>柜员根据借贷方传票启动“361346内部账现金付出”或“361352一借多贷转账”或“361354一贷多借转账”等交易对抵债资产取得过程中发生的相关税费记入到损益类科目或其他应收款科目。</w:t>
      </w:r>
    </w:p>
    <w:p>
      <w:pPr>
        <w:numPr>
          <w:ilvl w:val="0"/>
          <w:numId w:val="14"/>
        </w:numPr>
        <w:rPr>
          <w:rFonts w:ascii="宋体" w:hAnsi="宋体"/>
          <w:kern w:val="0"/>
        </w:rPr>
      </w:pPr>
      <w:r>
        <w:rPr>
          <w:rFonts w:hint="eastAsia" w:ascii="宋体" w:hAnsi="宋体"/>
          <w:kern w:val="0"/>
        </w:rPr>
        <w:t xml:space="preserve">如果抵债物所有人不是借款人，而且在本行没有客户信息，柜员启动“180101新增个人客户信息”或“180201新增对公客户信息”建立客户信息，记录客户号。 </w:t>
      </w:r>
    </w:p>
    <w:p>
      <w:pPr>
        <w:numPr>
          <w:ilvl w:val="0"/>
          <w:numId w:val="14"/>
        </w:numPr>
        <w:rPr>
          <w:rFonts w:hint="eastAsia" w:ascii="宋体" w:hAnsi="宋体"/>
          <w:bCs/>
          <w:kern w:val="0"/>
        </w:rPr>
      </w:pPr>
      <w:r>
        <w:rPr>
          <w:rFonts w:hint="eastAsia" w:ascii="宋体" w:hAnsi="宋体"/>
          <w:bCs/>
          <w:kern w:val="0"/>
        </w:rPr>
        <w:t>“抵债总额”、“待处理抵债资产账号”、“待变现利息账号”、“结余款项账号”栏必须正确输入，如果输入错误，只能在抵债资产入账之前启动“427110抵债资产维护”交易修改上述字段。</w:t>
      </w:r>
    </w:p>
    <w:p>
      <w:pPr>
        <w:numPr>
          <w:ilvl w:val="0"/>
          <w:numId w:val="14"/>
        </w:numPr>
        <w:rPr>
          <w:rFonts w:hint="eastAsia" w:ascii="宋体" w:hAnsi="宋体"/>
          <w:bCs/>
          <w:kern w:val="0"/>
        </w:rPr>
      </w:pPr>
      <w:r>
        <w:rPr>
          <w:rFonts w:hint="eastAsia" w:ascii="宋体" w:hAnsi="宋体"/>
        </w:rPr>
        <w:t>待处理抵债资产账号为核算抵债资产的内部账账号(一般为129010科目下的内部账账号); 代变现利息账号为核算表外利息的内部账账号; 结余款项账号为核算抵债总额超出贷款本息的内部账账号,一般为应付其他款项的内部账账号。</w:t>
      </w:r>
    </w:p>
    <w:p>
      <w:pPr>
        <w:numPr>
          <w:ilvl w:val="0"/>
          <w:numId w:val="14"/>
        </w:numPr>
        <w:rPr>
          <w:rFonts w:hint="eastAsia" w:ascii="宋体" w:hAnsi="宋体"/>
          <w:bCs/>
          <w:kern w:val="0"/>
        </w:rPr>
      </w:pPr>
      <w:r>
        <w:rPr>
          <w:rFonts w:hint="eastAsia" w:ascii="宋体" w:hAnsi="宋体"/>
        </w:rPr>
        <w:t>如果抵债金额超过贷款所欠本金利息和，即抵债款项有结余，需要在抵债资产登记时维护结余款项账号，否则抵债资产入账会报错。</w:t>
      </w:r>
    </w:p>
    <w:p>
      <w:pPr>
        <w:numPr>
          <w:ilvl w:val="0"/>
          <w:numId w:val="14"/>
        </w:numPr>
        <w:rPr>
          <w:rFonts w:ascii="宋体" w:hAnsi="宋体"/>
          <w:bCs/>
          <w:kern w:val="0"/>
        </w:rPr>
      </w:pPr>
      <w:r>
        <w:rPr>
          <w:rFonts w:hint="eastAsia" w:ascii="宋体" w:hAnsi="宋体"/>
        </w:rPr>
        <w:t>同一抵债资产可以进行多次抵债资产入账处理。</w:t>
      </w:r>
    </w:p>
    <w:p>
      <w:pPr>
        <w:pStyle w:val="3"/>
        <w:numPr>
          <w:ilvl w:val="1"/>
          <w:numId w:val="4"/>
        </w:numPr>
        <w:spacing w:after="0" w:line="240" w:lineRule="auto"/>
        <w:ind w:left="422" w:hanging="422"/>
      </w:pPr>
      <w:r>
        <w:rPr>
          <w:rFonts w:hint="eastAsia"/>
        </w:rPr>
        <w:t>抵债资产入账</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421800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抵债资产入账凭证</w:t>
            </w:r>
          </w:p>
        </w:tc>
      </w:tr>
    </w:tbl>
    <w:p>
      <w:pPr>
        <w:pStyle w:val="4"/>
        <w:numPr>
          <w:ilvl w:val="2"/>
          <w:numId w:val="4"/>
        </w:numPr>
        <w:ind w:left="422" w:hanging="422"/>
        <w:rPr>
          <w:rFonts w:cs="宋体"/>
        </w:rPr>
      </w:pPr>
      <w:r>
        <w:rPr>
          <w:rFonts w:hint="eastAsia"/>
        </w:rPr>
        <w:t>操作界面及栏位说明</w:t>
      </w:r>
    </w:p>
    <w:p>
      <w:pPr>
        <w:rPr>
          <w:rFonts w:ascii="宋体" w:hAnsi="宋体"/>
          <w:b/>
        </w:rPr>
      </w:pPr>
      <w:r>
        <w:rPr>
          <w:rFonts w:hint="eastAsia" w:ascii="宋体" w:hAnsi="宋体"/>
          <w:b/>
        </w:rPr>
        <w:t>操作界面1：</w:t>
      </w:r>
    </w:p>
    <w:p>
      <w:pPr>
        <w:rPr>
          <w:rFonts w:ascii="宋体" w:hAnsi="宋体"/>
          <w:kern w:val="0"/>
        </w:rPr>
      </w:pPr>
      <w:r>
        <w:rPr>
          <w:rFonts w:ascii="宋体" w:hAnsi="宋体"/>
          <w:kern w:val="0"/>
        </w:rPr>
        <w:drawing>
          <wp:inline distT="0" distB="0" distL="0" distR="0">
            <wp:extent cx="6120130" cy="4511675"/>
            <wp:effectExtent l="19050" t="0" r="0" b="0"/>
            <wp:docPr id="2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5"/>
                    <pic:cNvPicPr>
                      <a:picLocks noChangeAspect="1" noChangeArrowheads="1"/>
                    </pic:cNvPicPr>
                  </pic:nvPicPr>
                  <pic:blipFill>
                    <a:blip r:embed="rId15"/>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15"/>
              </w:numPr>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必输项，输入需要抵债的账号</w:t>
            </w:r>
          </w:p>
        </w:tc>
      </w:tr>
    </w:tbl>
    <w:p>
      <w:pPr>
        <w:rPr>
          <w:rFonts w:ascii="宋体" w:hAnsi="宋体"/>
          <w:b/>
        </w:rPr>
      </w:pPr>
      <w:r>
        <w:rPr>
          <w:rFonts w:hint="eastAsia" w:ascii="宋体" w:hAnsi="宋体"/>
          <w:b/>
        </w:rPr>
        <w:t>操作界面2：</w:t>
      </w:r>
    </w:p>
    <w:p>
      <w:pPr>
        <w:rPr>
          <w:rFonts w:ascii="宋体" w:hAnsi="宋体"/>
          <w:b/>
        </w:rPr>
      </w:pPr>
      <w:r>
        <w:rPr>
          <w:rFonts w:ascii="宋体" w:hAnsi="宋体"/>
          <w:b/>
        </w:rPr>
        <w:drawing>
          <wp:inline distT="0" distB="0" distL="0" distR="0">
            <wp:extent cx="6120130" cy="4511675"/>
            <wp:effectExtent l="19050" t="0" r="0" b="0"/>
            <wp:docPr id="2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2"/>
                    <pic:cNvPicPr>
                      <a:picLocks noChangeAspect="1" noChangeArrowheads="1"/>
                    </pic:cNvPicPr>
                  </pic:nvPicPr>
                  <pic:blipFill>
                    <a:blip r:embed="rId16"/>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必输项，输入需要抵债的账号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科目号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还款方式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本金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表外利息</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摘要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必输项，输入所要抵偿贷款本息的金额。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偿还债务是否终结</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必输项，输入所要抵偿贷款本息的抵债资产编号。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待变现利息账号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选输项，输入允许抵债资产入账的核准文件号。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16"/>
              </w:numPr>
              <w:jc w:val="left"/>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核准人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选输项，输入允许抵债资产入账的核准人名称。</w:t>
            </w:r>
          </w:p>
        </w:tc>
      </w:tr>
    </w:tbl>
    <w:p>
      <w:pPr>
        <w:rPr>
          <w:rFonts w:ascii="宋体" w:hAnsi="宋体"/>
          <w:b/>
          <w:kern w:val="0"/>
        </w:rPr>
      </w:pPr>
      <w:r>
        <w:rPr>
          <w:rFonts w:hint="eastAsia" w:ascii="宋体" w:hAnsi="宋体"/>
          <w:b/>
          <w:kern w:val="0"/>
        </w:rPr>
        <w:t>操作界面3：</w:t>
      </w:r>
    </w:p>
    <w:p>
      <w:pPr>
        <w:rPr>
          <w:rFonts w:ascii="宋体" w:hAnsi="宋体"/>
          <w:kern w:val="0"/>
        </w:rPr>
      </w:pPr>
      <w:r>
        <w:rPr>
          <w:rFonts w:ascii="宋体" w:hAnsi="宋体"/>
          <w:kern w:val="0"/>
        </w:rPr>
        <w:drawing>
          <wp:inline distT="0" distB="0" distL="0" distR="0">
            <wp:extent cx="6120130" cy="4511675"/>
            <wp:effectExtent l="19050" t="0" r="0" b="0"/>
            <wp:docPr id="33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133"/>
                    <pic:cNvPicPr>
                      <a:picLocks noChangeAspect="1" noChangeArrowheads="1"/>
                    </pic:cNvPicPr>
                  </pic:nvPicPr>
                  <pic:blipFill>
                    <a:blip r:embed="rId17"/>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必输项，输入需要抵债的账号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科目号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还款方式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还款总期数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未还期数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正常本金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不良本金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系统反显（跑批之后可见）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表外利息</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摘要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必输项，输入所要抵偿贷款本息的抵债资产编号。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必输项，输入所要抵偿贷款本息的金额。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偿还债务是否终结</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待变现利息账号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选输项，输入允许抵债资产入账的核准文件号。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17"/>
              </w:numPr>
              <w:jc w:val="left"/>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核准人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选输项，输入允许抵债资产入账的核准人名称。</w:t>
            </w:r>
          </w:p>
        </w:tc>
      </w:tr>
    </w:tbl>
    <w:p>
      <w:pPr>
        <w:pStyle w:val="4"/>
        <w:numPr>
          <w:ilvl w:val="2"/>
          <w:numId w:val="4"/>
        </w:numPr>
        <w:ind w:left="422" w:hanging="422"/>
        <w:rPr>
          <w:rFonts w:cs="宋体"/>
        </w:rPr>
      </w:pPr>
      <w:r>
        <w:rPr>
          <w:rFonts w:hint="eastAsia"/>
        </w:rPr>
        <w:t>操作流程</w:t>
      </w:r>
    </w:p>
    <w:p>
      <w:pPr>
        <w:numPr>
          <w:ilvl w:val="0"/>
          <w:numId w:val="18"/>
        </w:numPr>
        <w:rPr>
          <w:rFonts w:ascii="宋体" w:hAnsi="宋体"/>
          <w:kern w:val="0"/>
        </w:rPr>
      </w:pPr>
      <w:r>
        <w:rPr>
          <w:rFonts w:hint="eastAsia" w:ascii="宋体" w:hAnsi="宋体"/>
          <w:kern w:val="0"/>
        </w:rPr>
        <w:t>柜员根据业务需要启动抵债资产入账（421800）交易。</w:t>
      </w:r>
    </w:p>
    <w:p>
      <w:pPr>
        <w:numPr>
          <w:ilvl w:val="0"/>
          <w:numId w:val="18"/>
        </w:numPr>
        <w:rPr>
          <w:rFonts w:ascii="宋体" w:hAnsi="宋体"/>
          <w:kern w:val="0"/>
        </w:rPr>
      </w:pPr>
      <w:r>
        <w:rPr>
          <w:rFonts w:hint="eastAsia" w:ascii="宋体" w:hAnsi="宋体"/>
          <w:kern w:val="0"/>
        </w:rPr>
        <w:t>柜员输入需要入账的贷款账号后提交，系统反显相关信息，柜员确认无误后，输入抵债金额、抵债资产编号等要素后提交，系统提示需05级主管柜员授权。</w:t>
      </w:r>
    </w:p>
    <w:p>
      <w:pPr>
        <w:numPr>
          <w:ilvl w:val="0"/>
          <w:numId w:val="18"/>
        </w:numPr>
        <w:rPr>
          <w:rFonts w:ascii="宋体" w:hAnsi="宋体"/>
          <w:kern w:val="0"/>
        </w:rPr>
      </w:pPr>
      <w:r>
        <w:rPr>
          <w:rFonts w:hint="eastAsia" w:ascii="宋体" w:hAnsi="宋体"/>
          <w:kern w:val="0"/>
        </w:rPr>
        <w:t>经授权成功后，柜员按系统提示打印抵债资产入账凭证。</w:t>
      </w:r>
    </w:p>
    <w:p>
      <w:pPr>
        <w:numPr>
          <w:ilvl w:val="0"/>
          <w:numId w:val="18"/>
        </w:numPr>
        <w:rPr>
          <w:rFonts w:ascii="宋体" w:hAnsi="宋体"/>
          <w:kern w:val="0"/>
        </w:rPr>
      </w:pPr>
      <w:r>
        <w:rPr>
          <w:rFonts w:hint="eastAsia" w:ascii="宋体" w:hAnsi="宋体"/>
          <w:kern w:val="0"/>
        </w:rPr>
        <w:t>柜员在抵债资产入账凭证上加盖业务讫章入传票管理。</w:t>
      </w:r>
    </w:p>
    <w:p>
      <w:pPr>
        <w:numPr>
          <w:ilvl w:val="0"/>
          <w:numId w:val="18"/>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r>
        <w:rPr>
          <w:rFonts w:hint="eastAsia"/>
        </w:rPr>
        <w:tab/>
      </w:r>
    </w:p>
    <w:p>
      <w:pPr>
        <w:numPr>
          <w:ilvl w:val="0"/>
          <w:numId w:val="19"/>
        </w:numPr>
        <w:rPr>
          <w:rFonts w:ascii="宋体" w:hAnsi="宋体"/>
          <w:kern w:val="0"/>
        </w:rPr>
      </w:pPr>
      <w:r>
        <w:rPr>
          <w:rFonts w:hint="eastAsia" w:ascii="宋体" w:hAnsi="宋体"/>
          <w:kern w:val="0"/>
        </w:rPr>
        <w:t>本交易仅适用于未上信贷管理系统的机构。</w:t>
      </w:r>
      <w:r>
        <w:rPr>
          <w:rFonts w:hint="eastAsia" w:ascii="宋体" w:hAnsi="宋体"/>
          <w:kern w:val="0"/>
        </w:rPr>
        <w:tab/>
      </w:r>
    </w:p>
    <w:p>
      <w:pPr>
        <w:numPr>
          <w:ilvl w:val="0"/>
          <w:numId w:val="19"/>
        </w:numPr>
        <w:rPr>
          <w:rFonts w:ascii="宋体" w:hAnsi="宋体"/>
          <w:kern w:val="0"/>
        </w:rPr>
      </w:pPr>
      <w:r>
        <w:rPr>
          <w:rFonts w:hint="eastAsia" w:ascii="宋体" w:hAnsi="宋体"/>
          <w:kern w:val="0"/>
        </w:rPr>
        <w:t>贷款状态不能处于核销、置换状态。</w:t>
      </w:r>
    </w:p>
    <w:p>
      <w:pPr>
        <w:numPr>
          <w:ilvl w:val="0"/>
          <w:numId w:val="19"/>
        </w:numPr>
        <w:rPr>
          <w:rFonts w:ascii="宋体" w:hAnsi="宋体"/>
          <w:bCs/>
          <w:kern w:val="0"/>
        </w:rPr>
      </w:pPr>
      <w:r>
        <w:rPr>
          <w:rFonts w:hint="eastAsia" w:ascii="宋体" w:hAnsi="宋体"/>
          <w:bCs/>
          <w:kern w:val="0"/>
        </w:rPr>
        <w:t>有关人员审核人民法院判决书或裁定书、借款人、贷款人、担保人三方协商并签订具有法律效力的协议书后，符合抵债资产入账条件的，先启动“424040贷款分户查询”或“424100贷款挂息明细查询”交易，检查所要冲销的贷款是否有表内应收利息，如果有表内利息，贷款发放机构柜员启动“420800单户表内利息转表外”交易把表内应收利息手工转到表外，再作抵债资产入账交易，否则系统提示“表内应收分户余额不为O，需要手工转列”拒绝信息。</w:t>
      </w:r>
    </w:p>
    <w:p>
      <w:pPr>
        <w:numPr>
          <w:ilvl w:val="0"/>
          <w:numId w:val="19"/>
        </w:numPr>
        <w:rPr>
          <w:rFonts w:ascii="宋体" w:hAnsi="宋体"/>
          <w:bCs/>
          <w:kern w:val="0"/>
        </w:rPr>
      </w:pPr>
      <w:r>
        <w:rPr>
          <w:rFonts w:hint="eastAsia" w:ascii="宋体" w:hAnsi="宋体"/>
          <w:bCs/>
          <w:kern w:val="0"/>
        </w:rPr>
        <w:t xml:space="preserve">信贷账务柜员启动“424040贷款分户查询”或“424100贷款挂息明细查询”交易，查询“抵债金额”是否超出该贷款本金加已结出的表外利息之和。如果超出，则要启动“420600贷款单户计息”交易结清贷款所有积数，否则系统会提示“积数不为0，请先做单户结息”拒绝信息；如果不超出，贷款账务柜员直接启动“421800抵债资产入账”交易。 </w:t>
      </w:r>
    </w:p>
    <w:p>
      <w:pPr>
        <w:numPr>
          <w:ilvl w:val="0"/>
          <w:numId w:val="19"/>
        </w:numPr>
        <w:rPr>
          <w:rFonts w:hint="eastAsia" w:ascii="宋体" w:hAnsi="宋体"/>
          <w:bCs/>
          <w:kern w:val="0"/>
        </w:rPr>
      </w:pPr>
      <w:r>
        <w:rPr>
          <w:rFonts w:hint="eastAsia" w:ascii="宋体" w:hAnsi="宋体"/>
          <w:bCs/>
          <w:kern w:val="0"/>
        </w:rPr>
        <w:t>如果抵债资产入账之后发现有误，柜员启动“900901当日冲销”交易冲销该交易流水，重新启动“421800抵债资产入账”交易，已结清本息的贷款在贷款发放机构日终批量销户，第二天日初批量打印分户账明细。</w:t>
      </w:r>
    </w:p>
    <w:p>
      <w:pPr>
        <w:numPr>
          <w:ilvl w:val="0"/>
          <w:numId w:val="19"/>
        </w:numPr>
        <w:rPr>
          <w:rFonts w:hint="eastAsia" w:ascii="宋体" w:hAnsi="宋体"/>
          <w:bCs/>
          <w:kern w:val="0"/>
        </w:rPr>
      </w:pPr>
      <w:r>
        <w:rPr>
          <w:rFonts w:hint="eastAsia" w:ascii="宋体" w:hAnsi="宋体"/>
          <w:bCs/>
          <w:kern w:val="0"/>
        </w:rPr>
        <w:t>抵债金额大于贷款所欠的本息和，即抵债金额有结余，结余款项系统自动计入抵债资产登记时的</w:t>
      </w:r>
      <w:r>
        <w:rPr>
          <w:rFonts w:hint="eastAsia" w:ascii="宋体" w:hAnsi="宋体"/>
        </w:rPr>
        <w:t>结余款项账户。</w:t>
      </w:r>
    </w:p>
    <w:p>
      <w:pPr>
        <w:pStyle w:val="4"/>
        <w:numPr>
          <w:ilvl w:val="2"/>
          <w:numId w:val="4"/>
        </w:numPr>
        <w:ind w:left="422" w:hanging="422"/>
      </w:pPr>
      <w:r>
        <w:rPr>
          <w:rFonts w:hint="eastAsia"/>
        </w:rPr>
        <w:t>账务处理</w:t>
      </w:r>
    </w:p>
    <w:p>
      <w:pPr>
        <w:ind w:firstLine="420" w:firstLineChars="200"/>
        <w:rPr>
          <w:rFonts w:ascii="宋体" w:hAnsi="宋体"/>
        </w:rPr>
      </w:pPr>
      <w:r>
        <w:rPr>
          <w:rFonts w:hint="eastAsia" w:ascii="宋体" w:hAnsi="宋体"/>
        </w:rPr>
        <w:t>1．抵债金额小于等于贷款本金时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w:t>
      </w:r>
    </w:p>
    <w:p>
      <w:pPr>
        <w:ind w:firstLine="420" w:firstLineChars="200"/>
        <w:rPr>
          <w:rFonts w:ascii="宋体" w:hAnsi="宋体"/>
        </w:rPr>
      </w:pPr>
      <w:r>
        <w:rPr>
          <w:rFonts w:hint="eastAsia" w:ascii="宋体" w:hAnsi="宋体"/>
        </w:rPr>
        <w:t>2．抵债金额大于贷款本金且小于等于贷款本息时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        </w:t>
      </w:r>
    </w:p>
    <w:p>
      <w:pPr>
        <w:rPr>
          <w:rFonts w:ascii="宋体" w:hAnsi="宋体"/>
          <w:bCs/>
        </w:rPr>
      </w:pPr>
      <w:r>
        <w:rPr>
          <w:rFonts w:hint="eastAsia" w:ascii="宋体" w:hAnsi="宋体"/>
          <w:bCs/>
        </w:rPr>
        <w:t xml:space="preserve">        贷：XX科目</w:t>
      </w:r>
    </w:p>
    <w:p>
      <w:pPr>
        <w:ind w:firstLine="420" w:firstLineChars="200"/>
        <w:rPr>
          <w:rFonts w:ascii="宋体" w:hAnsi="宋体"/>
          <w:bCs/>
        </w:rPr>
      </w:pPr>
      <w:r>
        <w:rPr>
          <w:rFonts w:hint="eastAsia" w:ascii="宋体" w:hAnsi="宋体"/>
          <w:bCs/>
        </w:rPr>
        <w:t>同时表外记</w:t>
      </w:r>
    </w:p>
    <w:p>
      <w:pPr>
        <w:ind w:firstLine="420" w:firstLineChars="200"/>
        <w:rPr>
          <w:rFonts w:ascii="宋体" w:hAnsi="宋体"/>
          <w:bCs/>
        </w:rPr>
      </w:pPr>
      <w:r>
        <w:rPr>
          <w:rFonts w:hint="eastAsia" w:ascii="宋体" w:hAnsi="宋体"/>
          <w:bCs/>
        </w:rPr>
        <w:t>付：107逾期贷款应收利息-XX贷款应收利息</w:t>
      </w:r>
    </w:p>
    <w:p>
      <w:pPr>
        <w:ind w:firstLine="420" w:firstLineChars="200"/>
        <w:rPr>
          <w:rFonts w:ascii="宋体" w:hAnsi="宋体"/>
        </w:rPr>
      </w:pPr>
      <w:r>
        <w:rPr>
          <w:rFonts w:hint="eastAsia" w:ascii="宋体" w:hAnsi="宋体"/>
        </w:rPr>
        <w:t>3．抵债金额大于贷款本息时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        </w:t>
      </w:r>
    </w:p>
    <w:p>
      <w:pPr>
        <w:rPr>
          <w:rFonts w:ascii="宋体" w:hAnsi="宋体"/>
          <w:bCs/>
        </w:rPr>
      </w:pPr>
      <w:r>
        <w:rPr>
          <w:rFonts w:hint="eastAsia" w:ascii="宋体" w:hAnsi="宋体"/>
          <w:bCs/>
        </w:rPr>
        <w:t xml:space="preserve">        贷：XX科目-待变现利息</w:t>
      </w:r>
    </w:p>
    <w:p>
      <w:pPr>
        <w:rPr>
          <w:rFonts w:ascii="宋体" w:hAnsi="宋体"/>
          <w:bCs/>
        </w:rPr>
      </w:pPr>
      <w:r>
        <w:rPr>
          <w:rFonts w:hint="eastAsia" w:ascii="宋体" w:hAnsi="宋体"/>
          <w:bCs/>
        </w:rPr>
        <w:t xml:space="preserve">        贷：XX科目-结余款项</w:t>
      </w:r>
    </w:p>
    <w:p>
      <w:pPr>
        <w:ind w:firstLine="420" w:firstLineChars="200"/>
        <w:rPr>
          <w:rFonts w:ascii="宋体" w:hAnsi="宋体"/>
          <w:bCs/>
        </w:rPr>
      </w:pPr>
      <w:r>
        <w:rPr>
          <w:rFonts w:hint="eastAsia" w:ascii="宋体" w:hAnsi="宋体"/>
          <w:bCs/>
        </w:rPr>
        <w:t>同时表外记</w:t>
      </w:r>
    </w:p>
    <w:p>
      <w:pPr>
        <w:ind w:firstLine="420" w:firstLineChars="200"/>
        <w:rPr>
          <w:rFonts w:ascii="宋体" w:hAnsi="宋体"/>
          <w:bCs/>
        </w:rPr>
      </w:pPr>
      <w:r>
        <w:rPr>
          <w:rFonts w:hint="eastAsia" w:ascii="宋体" w:hAnsi="宋体"/>
          <w:bCs/>
        </w:rPr>
        <w:t>付：107逾期贷款应收利息-XX贷款应收利息</w:t>
      </w:r>
    </w:p>
    <w:p>
      <w:pPr>
        <w:pStyle w:val="3"/>
        <w:numPr>
          <w:ilvl w:val="1"/>
          <w:numId w:val="4"/>
        </w:numPr>
        <w:spacing w:after="0" w:line="240" w:lineRule="auto"/>
        <w:ind w:left="422" w:hanging="422"/>
      </w:pPr>
      <w:r>
        <w:rPr>
          <w:rFonts w:hint="eastAsia"/>
        </w:rPr>
        <w:t>信贷抵债资产入账</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信贷抵债资产入账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422900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本交易用于使用信贷管理系统登记的抵债资产的入账处理。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抵债资产入账凭证</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操作界面１：</w:t>
      </w:r>
    </w:p>
    <w:p>
      <w:pPr>
        <w:rPr>
          <w:rFonts w:ascii="宋体" w:hAnsi="宋体"/>
        </w:rPr>
      </w:pPr>
      <w:r>
        <w:rPr>
          <w:rFonts w:ascii="宋体" w:hAnsi="宋体"/>
        </w:rPr>
        <w:drawing>
          <wp:inline distT="0" distB="0" distL="0" distR="0">
            <wp:extent cx="6120130" cy="4511675"/>
            <wp:effectExtent l="19050" t="0" r="0" b="0"/>
            <wp:docPr id="32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112"/>
                    <pic:cNvPicPr>
                      <a:picLocks noChangeAspect="1" noChangeArrowheads="1"/>
                    </pic:cNvPicPr>
                  </pic:nvPicPr>
                  <pic:blipFill>
                    <a:blip r:embed="rId18"/>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12"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出账流水号</w:t>
            </w:r>
          </w:p>
        </w:tc>
        <w:tc>
          <w:tcPr>
            <w:tcW w:w="1277" w:type="dxa"/>
            <w:tcBorders>
              <w:top w:val="single" w:color="auto" w:sz="12"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rPr>
              <w:t>数值型</w:t>
            </w:r>
          </w:p>
        </w:tc>
        <w:tc>
          <w:tcPr>
            <w:tcW w:w="994" w:type="dxa"/>
            <w:tcBorders>
              <w:top w:val="single" w:color="auto" w:sz="12"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需要抵债的贷款账号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贷款户名</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贷款余额</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表内利息</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表外利息</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抵债金额</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抵偿本金</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抵偿利息</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结余款</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4"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待处理抵债资产编号</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4" w:space="0"/>
              <w:left w:val="single" w:color="auto" w:sz="6" w:space="0"/>
              <w:bottom w:val="single" w:color="auto" w:sz="4"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4" w:space="0"/>
              <w:right w:val="single" w:color="auto" w:sz="12" w:space="0"/>
            </w:tcBorders>
            <w:vAlign w:val="center"/>
          </w:tcPr>
          <w:p>
            <w:pPr>
              <w:rPr>
                <w:rFonts w:ascii="宋体" w:hAnsi="宋体"/>
              </w:rPr>
            </w:pPr>
            <w:r>
              <w:rPr>
                <w:rFonts w:hint="eastAsia" w:ascii="宋体" w:hAnsi="宋体"/>
              </w:rPr>
              <w:t>1290科目下的内部账账号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4" w:space="0"/>
              <w:left w:val="single" w:color="auto" w:sz="12" w:space="0"/>
              <w:bottom w:val="single" w:color="auto" w:sz="12" w:space="0"/>
              <w:right w:val="single" w:color="auto" w:sz="6" w:space="0"/>
            </w:tcBorders>
            <w:vAlign w:val="center"/>
          </w:tcPr>
          <w:p>
            <w:pPr>
              <w:numPr>
                <w:ilvl w:val="0"/>
                <w:numId w:val="20"/>
              </w:numPr>
              <w:jc w:val="center"/>
              <w:rPr>
                <w:rFonts w:ascii="宋体" w:hAnsi="宋体"/>
                <w:b/>
              </w:rPr>
            </w:pPr>
          </w:p>
        </w:tc>
        <w:tc>
          <w:tcPr>
            <w:tcW w:w="1135" w:type="dxa"/>
            <w:tcBorders>
              <w:top w:val="single" w:color="auto" w:sz="4"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户名</w:t>
            </w:r>
          </w:p>
        </w:tc>
        <w:tc>
          <w:tcPr>
            <w:tcW w:w="1277" w:type="dxa"/>
            <w:tcBorders>
              <w:top w:val="single" w:color="auto" w:sz="4"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4"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4"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4" w:type="dxa"/>
            <w:tcBorders>
              <w:top w:val="single" w:color="auto" w:sz="4"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4"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内部账户名</w:t>
            </w:r>
          </w:p>
        </w:tc>
      </w:tr>
    </w:tbl>
    <w:p>
      <w:pPr>
        <w:pStyle w:val="4"/>
        <w:numPr>
          <w:ilvl w:val="2"/>
          <w:numId w:val="4"/>
        </w:numPr>
        <w:ind w:left="422" w:hanging="422"/>
        <w:rPr>
          <w:rFonts w:cs="宋体"/>
        </w:rPr>
      </w:pPr>
      <w:r>
        <w:rPr>
          <w:rFonts w:hint="eastAsia"/>
        </w:rPr>
        <w:t>操作流程</w:t>
      </w:r>
    </w:p>
    <w:p>
      <w:pPr>
        <w:numPr>
          <w:ilvl w:val="0"/>
          <w:numId w:val="21"/>
        </w:numPr>
        <w:rPr>
          <w:rFonts w:ascii="宋体" w:hAnsi="宋体"/>
          <w:kern w:val="0"/>
        </w:rPr>
      </w:pPr>
      <w:r>
        <w:rPr>
          <w:rFonts w:hint="eastAsia" w:ascii="宋体" w:hAnsi="宋体"/>
          <w:kern w:val="0"/>
        </w:rPr>
        <w:t>柜员根据业务需要启动信贷抵债资产入账（422900）交易。</w:t>
      </w:r>
    </w:p>
    <w:p>
      <w:pPr>
        <w:numPr>
          <w:ilvl w:val="0"/>
          <w:numId w:val="21"/>
        </w:numPr>
        <w:rPr>
          <w:rFonts w:ascii="宋体" w:hAnsi="宋体"/>
          <w:kern w:val="0"/>
        </w:rPr>
      </w:pPr>
      <w:r>
        <w:rPr>
          <w:rFonts w:hint="eastAsia" w:ascii="宋体" w:hAnsi="宋体"/>
          <w:kern w:val="0"/>
        </w:rPr>
        <w:t>柜员输入出账流水号、贷款账号、待处理抵债资产账号等要素后提交，系统提示需05级主管柜员授权。</w:t>
      </w:r>
    </w:p>
    <w:p>
      <w:pPr>
        <w:numPr>
          <w:ilvl w:val="0"/>
          <w:numId w:val="21"/>
        </w:numPr>
        <w:rPr>
          <w:rFonts w:ascii="宋体" w:hAnsi="宋体"/>
          <w:kern w:val="0"/>
        </w:rPr>
      </w:pPr>
      <w:r>
        <w:rPr>
          <w:rFonts w:hint="eastAsia" w:ascii="宋体" w:hAnsi="宋体"/>
          <w:kern w:val="0"/>
        </w:rPr>
        <w:t>经授权成功后，柜员按系统提示打印抵债资产入账凭证。</w:t>
      </w:r>
    </w:p>
    <w:p>
      <w:pPr>
        <w:numPr>
          <w:ilvl w:val="0"/>
          <w:numId w:val="21"/>
        </w:numPr>
        <w:rPr>
          <w:rFonts w:ascii="宋体" w:hAnsi="宋体"/>
          <w:kern w:val="0"/>
        </w:rPr>
      </w:pPr>
      <w:r>
        <w:rPr>
          <w:rFonts w:hint="eastAsia" w:ascii="宋体" w:hAnsi="宋体"/>
          <w:kern w:val="0"/>
        </w:rPr>
        <w:t>柜员在抵债资产入账凭证上加盖业务讫章，入传票管理。</w:t>
      </w:r>
    </w:p>
    <w:p>
      <w:pPr>
        <w:numPr>
          <w:ilvl w:val="0"/>
          <w:numId w:val="21"/>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22"/>
        </w:numPr>
        <w:rPr>
          <w:rFonts w:ascii="宋体" w:hAnsi="宋体"/>
          <w:kern w:val="0"/>
        </w:rPr>
      </w:pPr>
      <w:r>
        <w:rPr>
          <w:rFonts w:hint="eastAsia" w:ascii="宋体" w:hAnsi="宋体"/>
          <w:kern w:val="0"/>
        </w:rPr>
        <w:t>该交易仅适用于已上信贷管理系统的机构。</w:t>
      </w:r>
    </w:p>
    <w:p>
      <w:pPr>
        <w:numPr>
          <w:ilvl w:val="0"/>
          <w:numId w:val="22"/>
        </w:numPr>
        <w:rPr>
          <w:rFonts w:ascii="宋体" w:hAnsi="宋体"/>
          <w:kern w:val="0"/>
        </w:rPr>
      </w:pPr>
      <w:r>
        <w:rPr>
          <w:rFonts w:hint="eastAsia" w:ascii="宋体" w:hAnsi="宋体"/>
          <w:kern w:val="0"/>
        </w:rPr>
        <w:t>贷款状态不能处于核销、置换状态。</w:t>
      </w:r>
    </w:p>
    <w:p>
      <w:pPr>
        <w:pStyle w:val="4"/>
        <w:numPr>
          <w:ilvl w:val="2"/>
          <w:numId w:val="4"/>
        </w:numPr>
        <w:ind w:left="422" w:hanging="422"/>
      </w:pPr>
      <w:r>
        <w:rPr>
          <w:rFonts w:hint="eastAsia"/>
        </w:rPr>
        <w:t>账务处理</w:t>
      </w:r>
    </w:p>
    <w:p>
      <w:pPr>
        <w:ind w:firstLine="420" w:firstLineChars="200"/>
        <w:rPr>
          <w:rFonts w:ascii="宋体" w:hAnsi="宋体"/>
        </w:rPr>
      </w:pPr>
      <w:r>
        <w:rPr>
          <w:rFonts w:hint="eastAsia" w:ascii="宋体" w:hAnsi="宋体"/>
        </w:rPr>
        <w:t>1．抵债金额小于等于贷款本金时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w:t>
      </w:r>
    </w:p>
    <w:p>
      <w:pPr>
        <w:ind w:firstLine="420" w:firstLineChars="200"/>
        <w:rPr>
          <w:rFonts w:ascii="宋体" w:hAnsi="宋体"/>
        </w:rPr>
      </w:pPr>
      <w:r>
        <w:rPr>
          <w:rFonts w:hint="eastAsia" w:ascii="宋体" w:hAnsi="宋体"/>
        </w:rPr>
        <w:t>2．抵债金额大于贷款本金且小于等于贷款本息时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        </w:t>
      </w:r>
    </w:p>
    <w:p>
      <w:pPr>
        <w:rPr>
          <w:rFonts w:ascii="宋体" w:hAnsi="宋体"/>
          <w:bCs/>
        </w:rPr>
      </w:pPr>
      <w:r>
        <w:rPr>
          <w:rFonts w:hint="eastAsia" w:ascii="宋体" w:hAnsi="宋体"/>
          <w:bCs/>
        </w:rPr>
        <w:t xml:space="preserve">        贷：XX科目</w:t>
      </w:r>
    </w:p>
    <w:p>
      <w:pPr>
        <w:ind w:firstLine="420" w:firstLineChars="200"/>
        <w:rPr>
          <w:rFonts w:ascii="宋体" w:hAnsi="宋体"/>
          <w:bCs/>
        </w:rPr>
      </w:pPr>
      <w:r>
        <w:rPr>
          <w:rFonts w:hint="eastAsia" w:ascii="宋体" w:hAnsi="宋体"/>
          <w:bCs/>
        </w:rPr>
        <w:t>同时表外记</w:t>
      </w:r>
    </w:p>
    <w:p>
      <w:pPr>
        <w:ind w:firstLine="420" w:firstLineChars="200"/>
        <w:rPr>
          <w:rFonts w:ascii="宋体" w:hAnsi="宋体"/>
          <w:bCs/>
        </w:rPr>
      </w:pPr>
      <w:r>
        <w:rPr>
          <w:rFonts w:hint="eastAsia" w:ascii="宋体" w:hAnsi="宋体"/>
          <w:bCs/>
        </w:rPr>
        <w:t>付：107逾期贷款应收利息-XX贷款应收利息</w:t>
      </w:r>
    </w:p>
    <w:p>
      <w:pPr>
        <w:ind w:firstLine="420" w:firstLineChars="200"/>
        <w:rPr>
          <w:rFonts w:ascii="宋体" w:hAnsi="宋体"/>
        </w:rPr>
      </w:pPr>
      <w:r>
        <w:rPr>
          <w:rFonts w:hint="eastAsia" w:ascii="宋体" w:hAnsi="宋体"/>
        </w:rPr>
        <w:t>3．抵债金额大于贷款本息时</w:t>
      </w:r>
    </w:p>
    <w:p>
      <w:pPr>
        <w:ind w:firstLine="420" w:firstLineChars="200"/>
        <w:rPr>
          <w:rFonts w:ascii="宋体" w:hAnsi="宋体"/>
          <w:bCs/>
        </w:rPr>
      </w:pPr>
      <w:r>
        <w:rPr>
          <w:rFonts w:hint="eastAsia" w:ascii="宋体" w:hAnsi="宋体"/>
          <w:bCs/>
        </w:rPr>
        <w:t>借：1290待处理抵债资产-XX抵债物</w:t>
      </w:r>
    </w:p>
    <w:p>
      <w:pPr>
        <w:rPr>
          <w:rFonts w:ascii="宋体" w:hAnsi="宋体"/>
          <w:bCs/>
        </w:rPr>
      </w:pPr>
      <w:r>
        <w:rPr>
          <w:rFonts w:hint="eastAsia" w:ascii="宋体" w:hAnsi="宋体"/>
          <w:bCs/>
        </w:rPr>
        <w:t xml:space="preserve">        贷：XX贷款-XX借款人户        </w:t>
      </w:r>
    </w:p>
    <w:p>
      <w:pPr>
        <w:rPr>
          <w:rFonts w:ascii="宋体" w:hAnsi="宋体"/>
          <w:bCs/>
        </w:rPr>
      </w:pPr>
      <w:r>
        <w:rPr>
          <w:rFonts w:hint="eastAsia" w:ascii="宋体" w:hAnsi="宋体"/>
          <w:bCs/>
        </w:rPr>
        <w:t xml:space="preserve">        贷：XX科目-待变现利息</w:t>
      </w:r>
    </w:p>
    <w:p>
      <w:pPr>
        <w:rPr>
          <w:rFonts w:ascii="宋体" w:hAnsi="宋体"/>
          <w:bCs/>
        </w:rPr>
      </w:pPr>
      <w:r>
        <w:rPr>
          <w:rFonts w:hint="eastAsia" w:ascii="宋体" w:hAnsi="宋体"/>
          <w:bCs/>
        </w:rPr>
        <w:t xml:space="preserve">        贷：XX科目-结余款项</w:t>
      </w:r>
    </w:p>
    <w:p>
      <w:pPr>
        <w:ind w:firstLine="420" w:firstLineChars="200"/>
        <w:rPr>
          <w:rFonts w:ascii="宋体" w:hAnsi="宋体"/>
          <w:bCs/>
        </w:rPr>
      </w:pPr>
      <w:r>
        <w:rPr>
          <w:rFonts w:hint="eastAsia" w:ascii="宋体" w:hAnsi="宋体"/>
          <w:bCs/>
        </w:rPr>
        <w:t>同时表外记</w:t>
      </w:r>
    </w:p>
    <w:p>
      <w:pPr>
        <w:ind w:firstLine="420" w:firstLineChars="200"/>
        <w:rPr>
          <w:rFonts w:ascii="宋体" w:hAnsi="宋体"/>
          <w:bCs/>
        </w:rPr>
      </w:pPr>
      <w:r>
        <w:rPr>
          <w:rFonts w:hint="eastAsia" w:ascii="宋体" w:hAnsi="宋体"/>
          <w:bCs/>
        </w:rPr>
        <w:t>付：107逾期贷款应收利息-XX贷款应收利息</w:t>
      </w:r>
    </w:p>
    <w:p>
      <w:pPr>
        <w:pStyle w:val="3"/>
        <w:numPr>
          <w:ilvl w:val="1"/>
          <w:numId w:val="4"/>
        </w:numPr>
        <w:spacing w:after="0" w:line="240" w:lineRule="auto"/>
        <w:ind w:left="422" w:hanging="422"/>
      </w:pPr>
      <w:r>
        <w:rPr>
          <w:rFonts w:hint="eastAsia"/>
        </w:rPr>
        <w:t>抵债资产维护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本交易用于取得的抵债资产信息的维护。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ascii="宋体" w:hAnsi="宋体"/>
          <w:b/>
        </w:rPr>
        <w:drawing>
          <wp:inline distT="0" distB="0" distL="0" distR="0">
            <wp:extent cx="6120130" cy="4510405"/>
            <wp:effectExtent l="19050" t="0" r="0" b="0"/>
            <wp:docPr id="32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103"/>
                    <pic:cNvPicPr>
                      <a:picLocks noChangeAspect="1" noChangeArrowheads="1"/>
                    </pic:cNvPicPr>
                  </pic:nvPicPr>
                  <pic:blipFill>
                    <a:blip r:embed="rId19"/>
                    <a:srcRect/>
                    <a:stretch>
                      <a:fillRect/>
                    </a:stretch>
                  </pic:blipFill>
                  <pic:spPr>
                    <a:xfrm>
                      <a:off x="0" y="0"/>
                      <a:ext cx="6120130" cy="451077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vAlign w:val="center"/>
          </w:tcPr>
          <w:p>
            <w:pPr>
              <w:numPr>
                <w:ilvl w:val="0"/>
                <w:numId w:val="23"/>
              </w:numPr>
              <w:jc w:val="center"/>
              <w:rPr>
                <w:rFonts w:ascii="宋体" w:hAnsi="宋体"/>
                <w:b/>
              </w:rPr>
            </w:pP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w:t>
            </w:r>
          </w:p>
        </w:tc>
      </w:tr>
    </w:tbl>
    <w:p>
      <w:pPr>
        <w:rPr>
          <w:rFonts w:ascii="宋体" w:hAnsi="宋体"/>
          <w:b/>
          <w:kern w:val="0"/>
        </w:rPr>
      </w:pPr>
      <w:r>
        <w:rPr>
          <w:rFonts w:hint="eastAsia" w:ascii="宋体" w:hAnsi="宋体"/>
          <w:b/>
          <w:kern w:val="0"/>
        </w:rPr>
        <w:t>操作界面2：（抵债物类型为土地使用权）</w:t>
      </w:r>
    </w:p>
    <w:p>
      <w:pPr>
        <w:rPr>
          <w:rFonts w:ascii="宋体" w:hAnsi="宋体"/>
        </w:rPr>
      </w:pPr>
      <w:r>
        <w:rPr>
          <w:rFonts w:ascii="宋体" w:hAnsi="宋体"/>
        </w:rPr>
        <w:drawing>
          <wp:inline distT="0" distB="0" distL="0" distR="0">
            <wp:extent cx="6120130" cy="5715000"/>
            <wp:effectExtent l="19050" t="0" r="0" b="0"/>
            <wp:docPr id="327"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118"/>
                    <pic:cNvPicPr>
                      <a:picLocks noChangeAspect="1" noChangeArrowheads="1"/>
                    </pic:cNvPicPr>
                  </pic:nvPicPr>
                  <pic:blipFill>
                    <a:blip r:embed="rId20"/>
                    <a:srcRect/>
                    <a:stretch>
                      <a:fillRect/>
                    </a:stretch>
                  </pic:blipFill>
                  <pic:spPr>
                    <a:xfrm>
                      <a:off x="0" y="0"/>
                      <a:ext cx="6120130" cy="571512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r>
        <w:rPr>
          <w:rFonts w:hint="eastAsia" w:ascii="宋体" w:hAnsi="宋体"/>
          <w:b/>
          <w:kern w:val="0"/>
        </w:rPr>
        <w:t>（抵债物类型为土地使用权）</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上述代垫类字段数值之和。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抵债资产入账之前可维护，入账之后自动反显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抵债资产入账之前可维护，入账之后自动反显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抵债资产入账之前可维护，入账之后自动反显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抵债资产入账之前可维护，入账之后自动反显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土地使用权证件号码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4"/>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使用权到期日</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操作界面3：（抵债物类型为房屋及建筑物）</w:t>
      </w:r>
    </w:p>
    <w:p>
      <w:pPr>
        <w:rPr>
          <w:rFonts w:ascii="宋体" w:hAnsi="宋体"/>
        </w:rPr>
      </w:pPr>
    </w:p>
    <w:p>
      <w:pPr>
        <w:rPr>
          <w:rFonts w:ascii="宋体" w:hAnsi="宋体"/>
          <w:b/>
          <w:kern w:val="0"/>
        </w:rPr>
      </w:pPr>
      <w:r>
        <w:rPr>
          <w:rFonts w:ascii="宋体" w:hAnsi="宋体"/>
          <w:b/>
          <w:kern w:val="0"/>
        </w:rPr>
        <w:drawing>
          <wp:inline distT="0" distB="0" distL="0" distR="0">
            <wp:extent cx="6120130" cy="5715000"/>
            <wp:effectExtent l="19050" t="0" r="0" b="0"/>
            <wp:docPr id="32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115"/>
                    <pic:cNvPicPr>
                      <a:picLocks noChangeAspect="1" noChangeArrowheads="1"/>
                    </pic:cNvPicPr>
                  </pic:nvPicPr>
                  <pic:blipFill>
                    <a:blip r:embed="rId21"/>
                    <a:srcRect/>
                    <a:stretch>
                      <a:fillRect/>
                    </a:stretch>
                  </pic:blipFill>
                  <pic:spPr>
                    <a:xfrm>
                      <a:off x="0" y="0"/>
                      <a:ext cx="6120130" cy="571512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栏位说明3：（抵债物类型为房屋及建筑物）</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5"/>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反显</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房屋类型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产权证号码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产权到期日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5"/>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操作界面4:（抵债物类型为林木）</w:t>
      </w:r>
    </w:p>
    <w:p>
      <w:pPr>
        <w:rPr>
          <w:rFonts w:ascii="宋体" w:hAnsi="宋体"/>
          <w:b/>
          <w:kern w:val="0"/>
        </w:rPr>
      </w:pPr>
    </w:p>
    <w:p>
      <w:pPr>
        <w:rPr>
          <w:rFonts w:ascii="宋体" w:hAnsi="宋体"/>
          <w:b/>
          <w:kern w:val="0"/>
        </w:rPr>
      </w:pPr>
      <w:r>
        <w:rPr>
          <w:rFonts w:ascii="宋体" w:hAnsi="宋体"/>
          <w:b/>
          <w:kern w:val="0"/>
        </w:rPr>
        <w:drawing>
          <wp:inline distT="0" distB="0" distL="0" distR="0">
            <wp:extent cx="6120130" cy="5715000"/>
            <wp:effectExtent l="19050" t="0" r="0" b="0"/>
            <wp:docPr id="33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136"/>
                    <pic:cNvPicPr>
                      <a:picLocks noChangeAspect="1" noChangeArrowheads="1"/>
                    </pic:cNvPicPr>
                  </pic:nvPicPr>
                  <pic:blipFill>
                    <a:blip r:embed="rId22"/>
                    <a:srcRect/>
                    <a:stretch>
                      <a:fillRect/>
                    </a:stretch>
                  </pic:blipFill>
                  <pic:spPr>
                    <a:xfrm>
                      <a:off x="0" y="0"/>
                      <a:ext cx="6120130" cy="571512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栏位说明4：（抵债物类型为林木）</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6"/>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林权证件号码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6"/>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操作界面5：（抵债物类型为交通工具）</w:t>
      </w:r>
    </w:p>
    <w:p>
      <w:pPr>
        <w:rPr>
          <w:rFonts w:ascii="宋体" w:hAnsi="宋体"/>
          <w:b/>
          <w:kern w:val="0"/>
        </w:rPr>
      </w:pPr>
      <w:r>
        <w:rPr>
          <w:rFonts w:ascii="宋体" w:hAnsi="宋体"/>
        </w:rPr>
        <w:drawing>
          <wp:inline distT="0" distB="0" distL="0" distR="0">
            <wp:extent cx="6120130" cy="5715000"/>
            <wp:effectExtent l="19050" t="0" r="0" b="0"/>
            <wp:docPr id="333"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139"/>
                    <pic:cNvPicPr>
                      <a:picLocks noChangeAspect="1" noChangeArrowheads="1"/>
                    </pic:cNvPicPr>
                  </pic:nvPicPr>
                  <pic:blipFill>
                    <a:blip r:embed="rId23"/>
                    <a:srcRect/>
                    <a:stretch>
                      <a:fillRect/>
                    </a:stretch>
                  </pic:blipFill>
                  <pic:spPr>
                    <a:xfrm>
                      <a:off x="0" y="0"/>
                      <a:ext cx="6120130" cy="5715121"/>
                    </a:xfrm>
                    <a:prstGeom prst="rect">
                      <a:avLst/>
                    </a:prstGeom>
                    <a:noFill/>
                    <a:ln w="9525">
                      <a:noFill/>
                      <a:miter lim="800000"/>
                      <a:headEnd/>
                      <a:tailEnd/>
                    </a:ln>
                  </pic:spPr>
                </pic:pic>
              </a:graphicData>
            </a:graphic>
          </wp:inline>
        </w:drawing>
      </w:r>
      <w:r>
        <w:rPr>
          <w:rFonts w:hint="eastAsia" w:ascii="宋体" w:hAnsi="宋体"/>
          <w:b/>
          <w:kern w:val="0"/>
        </w:rPr>
        <w:t>栏位说明5：（抵债物类型为交通工具）</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7"/>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发证机构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牌照号码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引擎号码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车体号码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机动车辆登记号码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运营证号码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运营证到期日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发票号码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7"/>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操作界面6：（抵债物类型为机械设备）</w:t>
      </w:r>
    </w:p>
    <w:p>
      <w:pPr>
        <w:rPr>
          <w:rFonts w:ascii="宋体" w:hAnsi="宋体"/>
        </w:rPr>
      </w:pPr>
    </w:p>
    <w:p>
      <w:pPr>
        <w:rPr>
          <w:rFonts w:ascii="宋体" w:hAnsi="宋体"/>
          <w:b/>
          <w:kern w:val="0"/>
        </w:rPr>
      </w:pPr>
      <w:r>
        <w:rPr>
          <w:rFonts w:ascii="宋体" w:hAnsi="宋体"/>
          <w:b/>
          <w:kern w:val="0"/>
        </w:rPr>
        <w:drawing>
          <wp:inline distT="0" distB="0" distL="0" distR="0">
            <wp:extent cx="6120130" cy="5715000"/>
            <wp:effectExtent l="19050" t="0" r="0" b="0"/>
            <wp:docPr id="33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142"/>
                    <pic:cNvPicPr>
                      <a:picLocks noChangeAspect="1" noChangeArrowheads="1"/>
                    </pic:cNvPicPr>
                  </pic:nvPicPr>
                  <pic:blipFill>
                    <a:blip r:embed="rId24"/>
                    <a:srcRect/>
                    <a:stretch>
                      <a:fillRect/>
                    </a:stretch>
                  </pic:blipFill>
                  <pic:spPr>
                    <a:xfrm>
                      <a:off x="0" y="0"/>
                      <a:ext cx="6120130" cy="571512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栏位说明6：（抵债物类型为机械设备）</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规格型号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使用类型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发票号码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8"/>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操作界面7：（抵债物类型为权利凭证）</w:t>
      </w:r>
    </w:p>
    <w:p>
      <w:pPr>
        <w:rPr>
          <w:rFonts w:ascii="宋体" w:hAnsi="宋体"/>
          <w:b/>
          <w:kern w:val="0"/>
        </w:rPr>
      </w:pPr>
      <w:r>
        <w:rPr>
          <w:rFonts w:ascii="宋体" w:hAnsi="宋体"/>
          <w:b/>
          <w:kern w:val="0"/>
        </w:rPr>
        <w:drawing>
          <wp:inline distT="0" distB="0" distL="0" distR="0">
            <wp:extent cx="6120130" cy="5711190"/>
            <wp:effectExtent l="19050" t="0" r="0" b="0"/>
            <wp:docPr id="33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145"/>
                    <pic:cNvPicPr>
                      <a:picLocks noChangeAspect="1" noChangeArrowheads="1"/>
                    </pic:cNvPicPr>
                  </pic:nvPicPr>
                  <pic:blipFill>
                    <a:blip r:embed="rId25"/>
                    <a:srcRect/>
                    <a:stretch>
                      <a:fillRect/>
                    </a:stretch>
                  </pic:blipFill>
                  <pic:spPr>
                    <a:xfrm>
                      <a:off x="0" y="0"/>
                      <a:ext cx="6120130" cy="5711322"/>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栏位说明7：（抵债物类型为权利凭证）</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29"/>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券面总额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29"/>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票据到期日</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ind w:firstLine="105" w:firstLineChars="50"/>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rPr>
          <w:rFonts w:ascii="宋体" w:hAnsi="宋体"/>
          <w:b/>
          <w:kern w:val="0"/>
        </w:rPr>
      </w:pPr>
      <w:r>
        <w:rPr>
          <w:rFonts w:hint="eastAsia" w:ascii="宋体" w:hAnsi="宋体"/>
          <w:b/>
          <w:kern w:val="0"/>
        </w:rPr>
        <w:t>操作界面8：（抵债物类型为其他）</w:t>
      </w:r>
    </w:p>
    <w:p>
      <w:pPr>
        <w:rPr>
          <w:rFonts w:ascii="宋体" w:hAnsi="宋体"/>
        </w:rPr>
      </w:pPr>
    </w:p>
    <w:p>
      <w:pPr>
        <w:rPr>
          <w:rFonts w:ascii="宋体" w:hAnsi="宋体"/>
        </w:rPr>
      </w:pPr>
      <w:r>
        <w:rPr>
          <w:rFonts w:ascii="宋体" w:hAnsi="宋体"/>
        </w:rPr>
        <w:drawing>
          <wp:inline distT="0" distB="0" distL="0" distR="0">
            <wp:extent cx="6120130" cy="5715000"/>
            <wp:effectExtent l="19050" t="0" r="0" b="0"/>
            <wp:docPr id="336"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148"/>
                    <pic:cNvPicPr>
                      <a:picLocks noChangeAspect="1" noChangeArrowheads="1"/>
                    </pic:cNvPicPr>
                  </pic:nvPicPr>
                  <pic:blipFill>
                    <a:blip r:embed="rId26"/>
                    <a:srcRect/>
                    <a:stretch>
                      <a:fillRect/>
                    </a:stretch>
                  </pic:blipFill>
                  <pic:spPr>
                    <a:xfrm>
                      <a:off x="0" y="0"/>
                      <a:ext cx="6120130" cy="571512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栏位说明8：（抵债物类型为其他）</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0"/>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抵债物类型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规格型号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票据证件到期日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面积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已使用年限</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位置</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投保金额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保险单编号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可维护项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0"/>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保险公司</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可维护项</w:t>
            </w:r>
          </w:p>
        </w:tc>
      </w:tr>
    </w:tbl>
    <w:p>
      <w:pPr>
        <w:pStyle w:val="4"/>
        <w:numPr>
          <w:ilvl w:val="2"/>
          <w:numId w:val="4"/>
        </w:numPr>
        <w:ind w:left="422" w:hanging="422"/>
        <w:rPr>
          <w:rFonts w:cs="宋体"/>
        </w:rPr>
      </w:pPr>
      <w:r>
        <w:rPr>
          <w:rFonts w:hint="eastAsia"/>
        </w:rPr>
        <w:t>操作流程</w:t>
      </w:r>
    </w:p>
    <w:p>
      <w:pPr>
        <w:numPr>
          <w:ilvl w:val="0"/>
          <w:numId w:val="31"/>
        </w:numPr>
        <w:rPr>
          <w:rFonts w:ascii="宋体" w:hAnsi="宋体"/>
          <w:kern w:val="0"/>
        </w:rPr>
      </w:pPr>
      <w:r>
        <w:rPr>
          <w:rFonts w:hint="eastAsia" w:ascii="宋体" w:hAnsi="宋体"/>
          <w:kern w:val="0"/>
        </w:rPr>
        <w:t>柜员根据业务需要启动抵债资产维护（427110）交易。</w:t>
      </w:r>
    </w:p>
    <w:p>
      <w:pPr>
        <w:numPr>
          <w:ilvl w:val="0"/>
          <w:numId w:val="31"/>
        </w:numPr>
        <w:rPr>
          <w:rFonts w:ascii="宋体" w:hAnsi="宋体"/>
          <w:kern w:val="0"/>
        </w:rPr>
      </w:pPr>
      <w:r>
        <w:rPr>
          <w:rFonts w:hint="eastAsia" w:ascii="宋体" w:hAnsi="宋体"/>
          <w:kern w:val="0"/>
        </w:rPr>
        <w:t>柜员输入抵债资产编号后提交，系统自动反显该抵债资产编号下抵债资产的详细信息，柜员可根据需要对抵债物名称、取得方式等信息进行维护，维护完毕后，系统提示需05级主管柜员授权。</w:t>
      </w:r>
    </w:p>
    <w:p>
      <w:pPr>
        <w:numPr>
          <w:ilvl w:val="0"/>
          <w:numId w:val="31"/>
        </w:numPr>
        <w:rPr>
          <w:rFonts w:ascii="宋体" w:hAnsi="宋体"/>
          <w:kern w:val="0"/>
        </w:rPr>
      </w:pPr>
      <w:r>
        <w:rPr>
          <w:rFonts w:hint="eastAsia" w:ascii="宋体" w:hAnsi="宋体"/>
          <w:kern w:val="0"/>
        </w:rPr>
        <w:t>经授权成功后，系统提示交易处理成功。</w:t>
      </w:r>
    </w:p>
    <w:p>
      <w:pPr>
        <w:numPr>
          <w:ilvl w:val="0"/>
          <w:numId w:val="31"/>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ind w:firstLine="420" w:firstLineChars="200"/>
        <w:rPr>
          <w:rFonts w:ascii="宋体" w:hAnsi="宋体"/>
          <w:kern w:val="0"/>
        </w:rPr>
      </w:pPr>
      <w:r>
        <w:rPr>
          <w:rFonts w:hint="eastAsia" w:ascii="宋体" w:hAnsi="宋体"/>
          <w:bCs/>
          <w:kern w:val="0"/>
        </w:rPr>
        <w:t>抵债资产维护交易在抵债资产入账之前， 可以修改任何信息；抵债资产入账之后，“抵债总额”、“</w:t>
      </w:r>
      <w:r>
        <w:rPr>
          <w:rFonts w:hint="eastAsia" w:ascii="宋体" w:hAnsi="宋体"/>
          <w:kern w:val="0"/>
        </w:rPr>
        <w:t>待处理抵债资产账号</w:t>
      </w:r>
      <w:r>
        <w:rPr>
          <w:rFonts w:hint="eastAsia" w:ascii="宋体" w:hAnsi="宋体"/>
          <w:bCs/>
          <w:kern w:val="0"/>
        </w:rPr>
        <w:t>”、“待变现利息账号”、“结余款项账号” 等字段无法维护，其余字段都可以维护。</w:t>
      </w:r>
    </w:p>
    <w:p>
      <w:pPr>
        <w:pStyle w:val="3"/>
        <w:numPr>
          <w:ilvl w:val="1"/>
          <w:numId w:val="4"/>
        </w:numPr>
        <w:spacing w:after="0" w:line="240" w:lineRule="auto"/>
        <w:ind w:left="422" w:hanging="422"/>
      </w:pPr>
      <w:r>
        <w:rPr>
          <w:rFonts w:hint="eastAsia"/>
        </w:rPr>
        <w:t>抵债资产注销</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抵债资产注销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本交易用于已登记的抵债资产的撤销处理。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2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100"/>
                    <pic:cNvPicPr>
                      <a:picLocks noChangeAspect="1" noChangeArrowheads="1"/>
                    </pic:cNvPicPr>
                  </pic:nvPicPr>
                  <pic:blipFill>
                    <a:blip r:embed="rId27"/>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32"/>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必输项，输入所要注销的拥有抵债资产所有权或处分权的客户号码。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必输项，输入所要注销的抵债资产编号。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32"/>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抵债物名称</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33"/>
        </w:numPr>
        <w:rPr>
          <w:rFonts w:ascii="宋体" w:hAnsi="宋体"/>
          <w:kern w:val="0"/>
        </w:rPr>
      </w:pPr>
      <w:r>
        <w:rPr>
          <w:rFonts w:hint="eastAsia" w:ascii="宋体" w:hAnsi="宋体"/>
          <w:kern w:val="0"/>
        </w:rPr>
        <w:t>柜员根据业务需要启动抵债资产注销（427120）交易。</w:t>
      </w:r>
    </w:p>
    <w:p>
      <w:pPr>
        <w:numPr>
          <w:ilvl w:val="0"/>
          <w:numId w:val="33"/>
        </w:numPr>
        <w:rPr>
          <w:rFonts w:ascii="宋体" w:hAnsi="宋体"/>
          <w:kern w:val="0"/>
        </w:rPr>
      </w:pPr>
      <w:r>
        <w:rPr>
          <w:rFonts w:hint="eastAsia" w:ascii="宋体" w:hAnsi="宋体"/>
          <w:kern w:val="0"/>
        </w:rPr>
        <w:t>柜员输入客户号、抵债资产编号后提交，系统提示需05级主管授权。</w:t>
      </w:r>
    </w:p>
    <w:p>
      <w:pPr>
        <w:numPr>
          <w:ilvl w:val="0"/>
          <w:numId w:val="33"/>
        </w:numPr>
        <w:rPr>
          <w:rFonts w:ascii="宋体" w:hAnsi="宋体"/>
          <w:kern w:val="0"/>
        </w:rPr>
      </w:pPr>
      <w:r>
        <w:rPr>
          <w:rFonts w:hint="eastAsia" w:ascii="宋体" w:hAnsi="宋体"/>
          <w:kern w:val="0"/>
        </w:rPr>
        <w:t>经授权成功后，系统提示交易处理成功。</w:t>
      </w:r>
    </w:p>
    <w:p>
      <w:pPr>
        <w:numPr>
          <w:ilvl w:val="0"/>
          <w:numId w:val="33"/>
        </w:numPr>
        <w:rPr>
          <w:rFonts w:ascii="宋体" w:hAnsi="宋体"/>
          <w:kern w:val="0"/>
        </w:rPr>
      </w:pPr>
      <w:r>
        <w:rPr>
          <w:rFonts w:hint="eastAsia" w:ascii="宋体" w:hAnsi="宋体"/>
          <w:kern w:val="0"/>
        </w:rPr>
        <w:t>交易处理成功后，退出本交易。</w:t>
      </w:r>
    </w:p>
    <w:p>
      <w:pPr>
        <w:pStyle w:val="3"/>
        <w:numPr>
          <w:ilvl w:val="1"/>
          <w:numId w:val="4"/>
        </w:numPr>
        <w:spacing w:after="0" w:line="240" w:lineRule="auto"/>
        <w:ind w:left="422" w:hanging="422"/>
      </w:pPr>
      <w:r>
        <w:rPr>
          <w:rFonts w:hint="eastAsia"/>
        </w:rPr>
        <w:t>抵债资产账户信息维护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抵债资产账户信息维护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本交易用于抵债资产账户信息的维护。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6120130" cy="4511675"/>
            <wp:effectExtent l="19050" t="0" r="0" b="0"/>
            <wp:docPr id="32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94"/>
                    <pic:cNvPicPr>
                      <a:picLocks noChangeAspect="1" noChangeArrowheads="1"/>
                    </pic:cNvPicPr>
                  </pic:nvPicPr>
                  <pic:blipFill>
                    <a:blip r:embed="rId28"/>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vAlign w:val="center"/>
          </w:tcPr>
          <w:p>
            <w:pPr>
              <w:numPr>
                <w:ilvl w:val="0"/>
                <w:numId w:val="34"/>
              </w:numPr>
              <w:jc w:val="center"/>
              <w:rPr>
                <w:rFonts w:ascii="宋体" w:hAnsi="宋体"/>
                <w:b/>
              </w:rPr>
            </w:pP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必输项，输入所要维护账户信息的抵债资产编号</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0130" cy="4511675"/>
            <wp:effectExtent l="19050" t="0" r="0" b="0"/>
            <wp:docPr id="32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97"/>
                    <pic:cNvPicPr>
                      <a:picLocks noChangeAspect="1" noChangeArrowheads="1"/>
                    </pic:cNvPicPr>
                  </pic:nvPicPr>
                  <pic:blipFill>
                    <a:blip r:embed="rId29"/>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抵债物种类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维护日起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列表选择，默认值是“保管”。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抵债本金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抵债利息</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保管费用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选输项，输入保管抵债物发生的相关费用。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装修费用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选输项，输入对抵债物进行装修的费用。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租赁收入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选输项，输入对外经营租赁抵债物取得的收入。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报损金额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选输项，输入抵债物报损的金额。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减值准备</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选输项，输入抵债物市值低于账面价值的部分。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变现净额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选输项，输入抵债物变现之后扣除变现费用的净值。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自用净额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选输项，输入抵债物转为固定资产的入账价值。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溢价金额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选输项，输入变现净额超出贷款本息归银行部分。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退回金额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选输项，输入变现净额超出贷款本息归借款人部分。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损失金额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选输项，输入用呆账准备核销抵债资产的部分。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批复书号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选输项，输入抵债资产某一状态所对应的批复书号。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35"/>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保管员</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w:t>
            </w:r>
          </w:p>
        </w:tc>
      </w:tr>
    </w:tbl>
    <w:p>
      <w:pPr>
        <w:pStyle w:val="4"/>
        <w:numPr>
          <w:ilvl w:val="2"/>
          <w:numId w:val="4"/>
        </w:numPr>
        <w:ind w:left="422" w:hanging="422"/>
        <w:rPr>
          <w:rFonts w:cs="宋体"/>
        </w:rPr>
      </w:pPr>
      <w:r>
        <w:rPr>
          <w:rFonts w:hint="eastAsia"/>
        </w:rPr>
        <w:t>操作流程</w:t>
      </w:r>
    </w:p>
    <w:p>
      <w:pPr>
        <w:numPr>
          <w:ilvl w:val="0"/>
          <w:numId w:val="36"/>
        </w:numPr>
        <w:rPr>
          <w:rFonts w:ascii="宋体" w:hAnsi="宋体"/>
          <w:kern w:val="0"/>
        </w:rPr>
      </w:pPr>
      <w:r>
        <w:rPr>
          <w:rFonts w:hint="eastAsia" w:ascii="宋体" w:hAnsi="宋体"/>
          <w:kern w:val="0"/>
        </w:rPr>
        <w:t>柜员根据业务需要启动抵债资产账户信息维护（427130）交易。</w:t>
      </w:r>
    </w:p>
    <w:p>
      <w:pPr>
        <w:numPr>
          <w:ilvl w:val="0"/>
          <w:numId w:val="36"/>
        </w:numPr>
        <w:rPr>
          <w:rFonts w:ascii="宋体" w:hAnsi="宋体"/>
          <w:kern w:val="0"/>
        </w:rPr>
      </w:pPr>
      <w:r>
        <w:rPr>
          <w:rFonts w:hint="eastAsia" w:ascii="宋体" w:hAnsi="宋体"/>
          <w:kern w:val="0"/>
        </w:rPr>
        <w:t>柜员输入抵债资产编号后提交，系统反显相关信息，柜员对该抵债资产编号下的抵债资产的状态、收取责任人、审批人、保管员等信息进行修改维护后提交，系统提示需05级主管柜员授权。</w:t>
      </w:r>
    </w:p>
    <w:p>
      <w:pPr>
        <w:numPr>
          <w:ilvl w:val="0"/>
          <w:numId w:val="36"/>
        </w:numPr>
        <w:rPr>
          <w:rFonts w:ascii="宋体" w:hAnsi="宋体"/>
          <w:kern w:val="0"/>
        </w:rPr>
      </w:pPr>
      <w:r>
        <w:rPr>
          <w:rFonts w:hint="eastAsia" w:ascii="宋体" w:hAnsi="宋体"/>
          <w:kern w:val="0"/>
        </w:rPr>
        <w:t>经授权成功后，系统提示交易处理成功。</w:t>
      </w:r>
    </w:p>
    <w:p>
      <w:pPr>
        <w:numPr>
          <w:ilvl w:val="0"/>
          <w:numId w:val="36"/>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ind w:left="420"/>
        <w:rPr>
          <w:rFonts w:ascii="宋体" w:hAnsi="宋体"/>
          <w:bCs/>
        </w:rPr>
      </w:pPr>
      <w:r>
        <w:rPr>
          <w:rFonts w:hint="eastAsia" w:ascii="宋体" w:hAnsi="宋体"/>
          <w:bCs/>
        </w:rPr>
        <w:t>本交易用于抵债资产入账之后有关信息的维护，但不能修改与抵债资产入账有关的账务信息。</w:t>
      </w:r>
    </w:p>
    <w:p>
      <w:pPr>
        <w:pStyle w:val="3"/>
        <w:numPr>
          <w:ilvl w:val="1"/>
          <w:numId w:val="4"/>
        </w:numPr>
        <w:spacing w:after="0" w:line="240" w:lineRule="auto"/>
        <w:ind w:left="422" w:hanging="422"/>
      </w:pPr>
      <w:r>
        <w:rPr>
          <w:rFonts w:hint="eastAsia"/>
        </w:rPr>
        <w:t>抵债资产取得信息查询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抵债资产取得信息查询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本交易用于取得抵债资产信息的查询。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操作界面级栏位说明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1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82"/>
                    <pic:cNvPicPr>
                      <a:picLocks noChangeAspect="1" noChangeArrowheads="1"/>
                    </pic:cNvPicPr>
                  </pic:nvPicPr>
                  <pic:blipFill>
                    <a:blip r:embed="rId30"/>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37"/>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必输项，默认值是本机构的代码。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7"/>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维护日起从</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选输项，输入对抵债资产作最后一次维护的日期所</w:t>
            </w:r>
          </w:p>
          <w:p>
            <w:pPr>
              <w:rPr>
                <w:rFonts w:ascii="宋体" w:hAnsi="宋体"/>
              </w:rPr>
            </w:pPr>
            <w:r>
              <w:rPr>
                <w:rFonts w:hint="eastAsia" w:ascii="宋体" w:hAnsi="宋体"/>
              </w:rPr>
              <w:t>属的时间范围，没有进行维护的以登记日期为准。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7"/>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至</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选输项，输入对抵债资产作最后一次维护的日期所</w:t>
            </w:r>
          </w:p>
          <w:p>
            <w:pPr>
              <w:rPr>
                <w:rFonts w:ascii="宋体" w:hAnsi="宋体"/>
              </w:rPr>
            </w:pPr>
            <w:r>
              <w:rPr>
                <w:rFonts w:hint="eastAsia" w:ascii="宋体" w:hAnsi="宋体"/>
              </w:rPr>
              <w:t>属的时间范围，没有进行维护的以登记日期为准。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37"/>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抵债物类型</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选输项，列表选择。</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b/>
          <w:kern w:val="0"/>
        </w:rPr>
        <w:drawing>
          <wp:inline distT="0" distB="0" distL="0" distR="0">
            <wp:extent cx="6120130" cy="4776470"/>
            <wp:effectExtent l="19050" t="0" r="0" b="0"/>
            <wp:docPr id="31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85"/>
                    <pic:cNvPicPr>
                      <a:picLocks noChangeAspect="1" noChangeArrowheads="1"/>
                    </pic:cNvPicPr>
                  </pic:nvPicPr>
                  <pic:blipFill>
                    <a:blip r:embed="rId31"/>
                    <a:srcRect/>
                    <a:stretch>
                      <a:fillRect/>
                    </a:stretch>
                  </pic:blipFill>
                  <pic:spPr>
                    <a:xfrm>
                      <a:off x="0" y="0"/>
                      <a:ext cx="6120130" cy="4776593"/>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维护日期</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抵债务类型</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交易柜员</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38"/>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授权柜员</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39"/>
        </w:numPr>
        <w:rPr>
          <w:rFonts w:ascii="宋体" w:hAnsi="宋体"/>
          <w:kern w:val="0"/>
        </w:rPr>
      </w:pPr>
      <w:r>
        <w:rPr>
          <w:rFonts w:hint="eastAsia" w:ascii="宋体" w:hAnsi="宋体"/>
          <w:kern w:val="0"/>
        </w:rPr>
        <w:t>柜员根据业务需要启动抵债资产取得信息查询（427160）交易。</w:t>
      </w:r>
    </w:p>
    <w:p>
      <w:pPr>
        <w:numPr>
          <w:ilvl w:val="0"/>
          <w:numId w:val="39"/>
        </w:numPr>
        <w:rPr>
          <w:rFonts w:ascii="宋体" w:hAnsi="宋体"/>
          <w:kern w:val="0"/>
        </w:rPr>
      </w:pPr>
      <w:r>
        <w:rPr>
          <w:rFonts w:hint="eastAsia" w:ascii="宋体" w:hAnsi="宋体"/>
          <w:kern w:val="0"/>
        </w:rPr>
        <w:t>柜员输入机构代码、维护日期、抵债物类型等查询要素后提交，系统自动反显符合条件的信息记录。</w:t>
      </w:r>
    </w:p>
    <w:p>
      <w:pPr>
        <w:numPr>
          <w:ilvl w:val="0"/>
          <w:numId w:val="39"/>
        </w:numPr>
        <w:rPr>
          <w:rFonts w:ascii="宋体" w:hAnsi="宋体"/>
          <w:kern w:val="0"/>
        </w:rPr>
      </w:pPr>
      <w:r>
        <w:rPr>
          <w:rFonts w:hint="eastAsia" w:ascii="宋体" w:hAnsi="宋体"/>
          <w:kern w:val="0"/>
        </w:rPr>
        <w:t>柜员用鼠标选中一笔查询记录，按“S”键可查询该笔记录的维护日期、抵债资产编号等信息。</w:t>
      </w:r>
    </w:p>
    <w:p>
      <w:pPr>
        <w:numPr>
          <w:ilvl w:val="0"/>
          <w:numId w:val="39"/>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40"/>
        </w:numPr>
        <w:rPr>
          <w:rFonts w:ascii="宋体" w:hAnsi="宋体"/>
          <w:kern w:val="0"/>
        </w:rPr>
      </w:pPr>
      <w:r>
        <w:rPr>
          <w:rFonts w:hint="eastAsia" w:ascii="宋体" w:hAnsi="宋体"/>
          <w:bCs/>
          <w:kern w:val="0"/>
        </w:rPr>
        <w:t>上级机构可以查询下级机构的抵债资产取得信息。</w:t>
      </w:r>
    </w:p>
    <w:p>
      <w:pPr>
        <w:numPr>
          <w:ilvl w:val="0"/>
          <w:numId w:val="40"/>
        </w:numPr>
        <w:rPr>
          <w:rFonts w:ascii="宋体" w:hAnsi="宋体"/>
          <w:kern w:val="0"/>
        </w:rPr>
      </w:pPr>
      <w:r>
        <w:rPr>
          <w:rFonts w:hint="eastAsia" w:ascii="宋体" w:hAnsi="宋体"/>
          <w:bCs/>
          <w:kern w:val="0"/>
        </w:rPr>
        <w:t>本交易查询结果为抵债资产最后一次维护信息。</w:t>
      </w:r>
    </w:p>
    <w:p>
      <w:pPr>
        <w:numPr>
          <w:ilvl w:val="0"/>
          <w:numId w:val="40"/>
        </w:numPr>
        <w:autoSpaceDE w:val="0"/>
        <w:autoSpaceDN w:val="0"/>
        <w:adjustRightInd w:val="0"/>
        <w:jc w:val="left"/>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Pr>
        <w:pStyle w:val="3"/>
        <w:numPr>
          <w:ilvl w:val="1"/>
          <w:numId w:val="4"/>
        </w:numPr>
        <w:spacing w:after="0" w:line="240" w:lineRule="auto"/>
        <w:ind w:left="422" w:hanging="422"/>
        <w:rPr>
          <w:rFonts w:cs="宋体"/>
        </w:rPr>
      </w:pPr>
      <w:r>
        <w:rPr>
          <w:rFonts w:hint="eastAsia"/>
        </w:rPr>
        <w:t>抵债资产登记信息查询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抵债资产登记信息查询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本交易用于抵债资产登记信息的查询。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1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76"/>
                    <pic:cNvPicPr>
                      <a:picLocks noChangeAspect="1" noChangeArrowheads="1"/>
                    </pic:cNvPicPr>
                  </pic:nvPicPr>
                  <pic:blipFill>
                    <a:blip r:embed="rId32"/>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vAlign w:val="center"/>
          </w:tcPr>
          <w:p>
            <w:pPr>
              <w:numPr>
                <w:ilvl w:val="0"/>
                <w:numId w:val="41"/>
              </w:numPr>
              <w:jc w:val="center"/>
              <w:rPr>
                <w:rFonts w:ascii="宋体" w:hAnsi="宋体"/>
                <w:b/>
              </w:rPr>
            </w:pP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必输项，需要查询的抵债资产的编号。</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0130" cy="5789930"/>
            <wp:effectExtent l="19050" t="0" r="0" b="0"/>
            <wp:docPr id="31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79"/>
                    <pic:cNvPicPr>
                      <a:picLocks noChangeAspect="1" noChangeArrowheads="1"/>
                    </pic:cNvPicPr>
                  </pic:nvPicPr>
                  <pic:blipFill>
                    <a:blip r:embed="rId33"/>
                    <a:srcRect/>
                    <a:stretch>
                      <a:fillRect/>
                    </a:stretch>
                  </pic:blipFill>
                  <pic:spPr>
                    <a:xfrm>
                      <a:off x="0" y="0"/>
                      <a:ext cx="6120130" cy="5790123"/>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抵债物类型</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取得方式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作价形式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取得价值</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取得税费</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代垫税金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代垫费用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代垫其他</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代垫总额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抵债总额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抵债物数量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计量单位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代变现利息账号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收取责任人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保管员</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票据种类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券面总额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票据号码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42"/>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票据到期日</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43"/>
        </w:numPr>
        <w:rPr>
          <w:rFonts w:ascii="宋体" w:hAnsi="宋体"/>
          <w:kern w:val="0"/>
        </w:rPr>
      </w:pPr>
      <w:r>
        <w:rPr>
          <w:rFonts w:hint="eastAsia" w:ascii="宋体" w:hAnsi="宋体"/>
          <w:kern w:val="0"/>
        </w:rPr>
        <w:t>柜员根据业务需要启动抵债资产登记信息查询交易。</w:t>
      </w:r>
    </w:p>
    <w:p>
      <w:pPr>
        <w:numPr>
          <w:ilvl w:val="0"/>
          <w:numId w:val="43"/>
        </w:numPr>
        <w:rPr>
          <w:rFonts w:ascii="宋体" w:hAnsi="宋体"/>
          <w:kern w:val="0"/>
        </w:rPr>
      </w:pPr>
      <w:r>
        <w:rPr>
          <w:rFonts w:hint="eastAsia" w:ascii="宋体" w:hAnsi="宋体"/>
          <w:kern w:val="0"/>
        </w:rPr>
        <w:t>柜员输入抵债资产编号提交，系统自动反显抵债资产登记的客户号码、客户名称、抵债物类型等信息。</w:t>
      </w:r>
    </w:p>
    <w:p>
      <w:pPr>
        <w:numPr>
          <w:ilvl w:val="0"/>
          <w:numId w:val="43"/>
        </w:numPr>
        <w:rPr>
          <w:rFonts w:ascii="宋体" w:hAnsi="宋体"/>
          <w:kern w:val="0"/>
        </w:rPr>
      </w:pPr>
      <w:r>
        <w:rPr>
          <w:rFonts w:hint="eastAsia" w:ascii="宋体" w:hAnsi="宋体"/>
          <w:kern w:val="0"/>
        </w:rPr>
        <w:t>查询结束后，柜员点击退出按钮退出。</w:t>
      </w:r>
    </w:p>
    <w:p>
      <w:pPr>
        <w:numPr>
          <w:ilvl w:val="0"/>
          <w:numId w:val="43"/>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44"/>
        </w:numPr>
        <w:rPr>
          <w:rFonts w:ascii="宋体" w:hAnsi="宋体"/>
          <w:kern w:val="0"/>
        </w:rPr>
      </w:pPr>
      <w:r>
        <w:rPr>
          <w:rFonts w:hint="eastAsia" w:ascii="宋体" w:hAnsi="宋体"/>
          <w:bCs/>
          <w:kern w:val="0"/>
        </w:rPr>
        <w:t>操作柜员输入 “抵债资产编号”，可以查询抵债资产的全部登记信息。</w:t>
      </w:r>
    </w:p>
    <w:p>
      <w:pPr>
        <w:numPr>
          <w:ilvl w:val="0"/>
          <w:numId w:val="44"/>
        </w:numPr>
        <w:rPr>
          <w:rFonts w:ascii="宋体" w:hAnsi="宋体"/>
          <w:kern w:val="0"/>
        </w:rPr>
      </w:pPr>
      <w:r>
        <w:rPr>
          <w:rFonts w:hint="eastAsia" w:ascii="宋体" w:hAnsi="宋体" w:cs="宋体"/>
          <w:kern w:val="0"/>
          <w:lang w:val="zh-CN"/>
        </w:rPr>
        <w:t>柜员可根据需要按“Ctrl+T”</w:t>
      </w:r>
      <w:r>
        <w:rPr>
          <w:rFonts w:hint="eastAsia" w:ascii="宋体" w:hAnsi="宋体" w:cs="宋体"/>
          <w:kern w:val="0"/>
        </w:rPr>
        <w:t>键选择打印机进行打印，其中打印项可灵活勾选确认。</w:t>
      </w:r>
    </w:p>
    <w:p>
      <w:pPr>
        <w:pStyle w:val="3"/>
        <w:numPr>
          <w:ilvl w:val="1"/>
          <w:numId w:val="4"/>
        </w:numPr>
        <w:spacing w:after="0" w:line="240" w:lineRule="auto"/>
        <w:ind w:left="422" w:hanging="422"/>
      </w:pPr>
      <w:r>
        <w:rPr>
          <w:rFonts w:hint="eastAsia"/>
        </w:rPr>
        <w:t>抵债资产抵债信息查询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抵债资产抵债信息查询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本交易用于抵债资产抵债信息的查询。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1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70"/>
                    <pic:cNvPicPr>
                      <a:picLocks noChangeAspect="1" noChangeArrowheads="1"/>
                    </pic:cNvPicPr>
                  </pic:nvPicPr>
                  <pic:blipFill>
                    <a:blip r:embed="rId34"/>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45"/>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选输项，输入抵债资产编号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选输项，输入拥有抵债物所有权或处分权的客户号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45"/>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选输项，输入贷款账号</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hint="eastAsia" w:ascii="宋体" w:hAnsi="宋体"/>
          <w:b/>
        </w:rPr>
        <w:drawing>
          <wp:inline distT="0" distB="0" distL="0" distR="0">
            <wp:extent cx="6120130" cy="1609725"/>
            <wp:effectExtent l="19050" t="0" r="0" b="0"/>
            <wp:docPr id="31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3"/>
                    <pic:cNvPicPr>
                      <a:picLocks noChangeAspect="1" noChangeArrowheads="1"/>
                    </pic:cNvPicPr>
                  </pic:nvPicPr>
                  <pic:blipFill>
                    <a:blip r:embed="rId35"/>
                    <a:srcRect/>
                    <a:stretch>
                      <a:fillRect/>
                    </a:stretch>
                  </pic:blipFill>
                  <pic:spPr>
                    <a:xfrm>
                      <a:off x="0" y="0"/>
                      <a:ext cx="6120130" cy="1610128"/>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46"/>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交易日期</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6"/>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6"/>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6"/>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46"/>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47"/>
        </w:numPr>
        <w:rPr>
          <w:rFonts w:ascii="宋体" w:hAnsi="宋体"/>
          <w:kern w:val="0"/>
        </w:rPr>
      </w:pPr>
      <w:r>
        <w:rPr>
          <w:rFonts w:hint="eastAsia" w:ascii="宋体" w:hAnsi="宋体"/>
          <w:kern w:val="0"/>
        </w:rPr>
        <w:t>柜员根据业务需要启动抵债资产抵债信息查询（427180）交易。</w:t>
      </w:r>
    </w:p>
    <w:p>
      <w:pPr>
        <w:numPr>
          <w:ilvl w:val="0"/>
          <w:numId w:val="47"/>
        </w:numPr>
        <w:rPr>
          <w:rFonts w:ascii="宋体" w:hAnsi="宋体"/>
          <w:kern w:val="0"/>
        </w:rPr>
      </w:pPr>
      <w:r>
        <w:rPr>
          <w:rFonts w:hint="eastAsia" w:ascii="宋体" w:hAnsi="宋体"/>
          <w:kern w:val="0"/>
        </w:rPr>
        <w:t>柜员选择输入抵债资产编号、客户号、贷款账号等要素后提交，系统自动反显查询记录。</w:t>
      </w:r>
    </w:p>
    <w:p>
      <w:pPr>
        <w:numPr>
          <w:ilvl w:val="0"/>
          <w:numId w:val="47"/>
        </w:numPr>
        <w:rPr>
          <w:rFonts w:ascii="宋体" w:hAnsi="宋体"/>
          <w:kern w:val="0"/>
        </w:rPr>
      </w:pPr>
      <w:r>
        <w:rPr>
          <w:rFonts w:hint="eastAsia" w:ascii="宋体" w:hAnsi="宋体"/>
          <w:kern w:val="0"/>
        </w:rPr>
        <w:t>柜员用鼠标选定单笔记录，按“S”键反显该笔记录的交易日期、抵债资产编号等信息。</w:t>
      </w:r>
    </w:p>
    <w:p>
      <w:pPr>
        <w:numPr>
          <w:ilvl w:val="0"/>
          <w:numId w:val="47"/>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ind w:left="420"/>
        <w:rPr>
          <w:rFonts w:ascii="宋体" w:hAnsi="宋体"/>
          <w:kern w:val="0"/>
        </w:rPr>
      </w:pPr>
      <w:r>
        <w:rPr>
          <w:rFonts w:hint="eastAsia" w:ascii="宋体" w:hAnsi="宋体" w:cs="宋体"/>
          <w:kern w:val="0"/>
          <w:lang w:val="zh-CN"/>
        </w:rPr>
        <w:t>柜员可根据需要按“Ctrl+T”</w:t>
      </w:r>
      <w:r>
        <w:rPr>
          <w:rFonts w:hint="eastAsia" w:ascii="宋体" w:hAnsi="宋体" w:cs="宋体"/>
          <w:kern w:val="0"/>
        </w:rPr>
        <w:t>键选择打印机进行打印，其中打印项可灵活勾选确认。</w:t>
      </w:r>
    </w:p>
    <w:p>
      <w:pPr>
        <w:pStyle w:val="3"/>
        <w:numPr>
          <w:ilvl w:val="1"/>
          <w:numId w:val="4"/>
        </w:numPr>
        <w:spacing w:after="0" w:line="240" w:lineRule="auto"/>
        <w:ind w:left="422" w:hanging="422"/>
      </w:pPr>
      <w:r>
        <w:rPr>
          <w:rFonts w:hint="eastAsia"/>
        </w:rPr>
        <w:t>抵债资产账户信息查询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抵债资产账户信息查询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427190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本交易用于抵债资产账户信息的查询。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1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64"/>
                    <pic:cNvPicPr>
                      <a:picLocks noChangeAspect="1" noChangeArrowheads="1"/>
                    </pic:cNvPicPr>
                  </pic:nvPicPr>
                  <pic:blipFill>
                    <a:blip r:embed="rId36"/>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必输项，输入所要查询的机构代码。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选输项，输入所要查询的抵债资产编号。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抵债物种类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选输项，列表选择七种抵债物种类。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选输项，列表选择六种抵债物状态。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交易日期从</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选输项，输入最后一次维护账户信息的时间范围起日。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48"/>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至</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选输项，输入最后一次维护账户信息的时间范围止日。</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0130" cy="3335020"/>
            <wp:effectExtent l="19050" t="0" r="0" b="0"/>
            <wp:docPr id="31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67"/>
                    <pic:cNvPicPr>
                      <a:picLocks noChangeAspect="1" noChangeArrowheads="1"/>
                    </pic:cNvPicPr>
                  </pic:nvPicPr>
                  <pic:blipFill>
                    <a:blip r:embed="rId37"/>
                    <a:srcRect/>
                    <a:stretch>
                      <a:fillRect/>
                    </a:stretch>
                  </pic:blipFill>
                  <pic:spPr>
                    <a:xfrm>
                      <a:off x="0" y="0"/>
                      <a:ext cx="6120130" cy="333526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维护日起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输出</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抵债物种类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保管费用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装修费用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租赁收入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报损金额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减值准备</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变现净额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自用净额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溢价金额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退回金额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损失金额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批复书号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操作柜员</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49"/>
              </w:numPr>
              <w:jc w:val="center"/>
              <w:rPr>
                <w:rFonts w:ascii="宋体" w:hAnsi="宋体"/>
                <w:b/>
              </w:rPr>
            </w:pP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授权柜员</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50"/>
        </w:numPr>
        <w:rPr>
          <w:rFonts w:ascii="宋体" w:hAnsi="宋体"/>
          <w:kern w:val="0"/>
        </w:rPr>
      </w:pPr>
      <w:r>
        <w:rPr>
          <w:rFonts w:hint="eastAsia" w:ascii="宋体" w:hAnsi="宋体"/>
          <w:kern w:val="0"/>
        </w:rPr>
        <w:t>柜员根据业务需要启动抵债资产账户信息查询（427190）交易。</w:t>
      </w:r>
    </w:p>
    <w:p>
      <w:pPr>
        <w:numPr>
          <w:ilvl w:val="0"/>
          <w:numId w:val="50"/>
        </w:numPr>
        <w:rPr>
          <w:rFonts w:ascii="宋体" w:hAnsi="宋体"/>
          <w:kern w:val="0"/>
        </w:rPr>
      </w:pPr>
      <w:r>
        <w:rPr>
          <w:rFonts w:hint="eastAsia" w:ascii="宋体" w:hAnsi="宋体"/>
          <w:kern w:val="0"/>
        </w:rPr>
        <w:t>柜员输入机构代码、抵债资产编号、抵债物种类、状态、交易日期等要素后提交，系统自动反显符合查询条件的信息记录。</w:t>
      </w:r>
    </w:p>
    <w:p>
      <w:pPr>
        <w:numPr>
          <w:ilvl w:val="0"/>
          <w:numId w:val="50"/>
        </w:numPr>
        <w:rPr>
          <w:rFonts w:ascii="宋体" w:hAnsi="宋体"/>
          <w:kern w:val="0"/>
        </w:rPr>
      </w:pPr>
      <w:r>
        <w:rPr>
          <w:rFonts w:hint="eastAsia" w:ascii="宋体" w:hAnsi="宋体"/>
          <w:kern w:val="0"/>
        </w:rPr>
        <w:t>柜员用鼠标选中单笔记录，按“S”键显示该笔记录的详细信息。</w:t>
      </w:r>
    </w:p>
    <w:p>
      <w:pPr>
        <w:numPr>
          <w:ilvl w:val="0"/>
          <w:numId w:val="50"/>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autoSpaceDE w:val="0"/>
        <w:autoSpaceDN w:val="0"/>
        <w:adjustRightInd w:val="0"/>
        <w:ind w:firstLine="420" w:firstLineChars="200"/>
        <w:jc w:val="left"/>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Pr>
        <w:pStyle w:val="3"/>
        <w:numPr>
          <w:ilvl w:val="1"/>
          <w:numId w:val="4"/>
        </w:numPr>
        <w:spacing w:after="0" w:line="240" w:lineRule="auto"/>
        <w:ind w:left="422" w:hanging="422"/>
        <w:rPr>
          <w:rFonts w:cs="宋体"/>
        </w:rPr>
      </w:pPr>
      <w:r>
        <w:rPr>
          <w:rFonts w:hint="eastAsia"/>
        </w:rPr>
        <w:t>抵债资产入账信息查询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抵债资产入账信息查询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427210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本交易用于抵债资产入账信息的查询。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抵债资产查询打印角色柜员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0130" cy="4511675"/>
            <wp:effectExtent l="19050" t="0" r="0" b="0"/>
            <wp:docPr id="30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58"/>
                    <pic:cNvPicPr>
                      <a:picLocks noChangeAspect="1" noChangeArrowheads="1"/>
                    </pic:cNvPicPr>
                  </pic:nvPicPr>
                  <pic:blipFill>
                    <a:blip r:embed="rId38"/>
                    <a:srcRect/>
                    <a:stretch>
                      <a:fillRect/>
                    </a:stretch>
                  </pic:blipFill>
                  <pic:spPr>
                    <a:xfrm>
                      <a:off x="0" y="0"/>
                      <a:ext cx="6120130" cy="45118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必输项，输入所要查询的机构代码。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入账日期从</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必输项，输入抵债资产入账日期时间范围起日。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51"/>
              </w:numPr>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至</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必输项，输入抵债资产入账日期时间范围止日。</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0130" cy="2763520"/>
            <wp:effectExtent l="19050" t="0" r="0" b="0"/>
            <wp:docPr id="31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61"/>
                    <pic:cNvPicPr>
                      <a:picLocks noChangeAspect="1" noChangeArrowheads="1"/>
                    </pic:cNvPicPr>
                  </pic:nvPicPr>
                  <pic:blipFill>
                    <a:blip r:embed="rId39"/>
                    <a:srcRect/>
                    <a:stretch>
                      <a:fillRect/>
                    </a:stretch>
                  </pic:blipFill>
                  <pic:spPr>
                    <a:xfrm>
                      <a:off x="0" y="0"/>
                      <a:ext cx="6120130" cy="2763753"/>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抵债资产编号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待处理抵债资产账号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抵债本金</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待变现利息账号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抵债利息</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结余款项</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借款人名称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入账日期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操作柜员</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52"/>
              </w:numPr>
              <w:jc w:val="left"/>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授权柜员</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53"/>
        </w:numPr>
        <w:rPr>
          <w:rFonts w:ascii="宋体" w:hAnsi="宋体"/>
          <w:kern w:val="0"/>
        </w:rPr>
      </w:pPr>
      <w:r>
        <w:rPr>
          <w:rFonts w:hint="eastAsia" w:ascii="宋体" w:hAnsi="宋体"/>
          <w:kern w:val="0"/>
        </w:rPr>
        <w:t>柜员根据业务需要启动抵债资产入账信息（427210）交易。</w:t>
      </w:r>
    </w:p>
    <w:p>
      <w:pPr>
        <w:numPr>
          <w:ilvl w:val="0"/>
          <w:numId w:val="53"/>
        </w:numPr>
        <w:rPr>
          <w:rFonts w:ascii="宋体" w:hAnsi="宋体"/>
          <w:kern w:val="0"/>
        </w:rPr>
      </w:pPr>
      <w:r>
        <w:rPr>
          <w:rFonts w:hint="eastAsia" w:ascii="宋体" w:hAnsi="宋体"/>
          <w:kern w:val="0"/>
        </w:rPr>
        <w:t>柜员输入机构代码、入账日期等要素后提交，系统自动反显符合查询条件的记录。</w:t>
      </w:r>
    </w:p>
    <w:p>
      <w:pPr>
        <w:numPr>
          <w:ilvl w:val="0"/>
          <w:numId w:val="53"/>
        </w:numPr>
        <w:rPr>
          <w:rFonts w:ascii="宋体" w:hAnsi="宋体"/>
          <w:kern w:val="0"/>
        </w:rPr>
      </w:pPr>
      <w:r>
        <w:rPr>
          <w:rFonts w:hint="eastAsia" w:ascii="宋体" w:hAnsi="宋体"/>
          <w:kern w:val="0"/>
        </w:rPr>
        <w:t>柜员用鼠标选中单笔记录，按“S”键显示该笔记录的抵债资产编号、待处理抵债资产账号等信息。</w:t>
      </w:r>
    </w:p>
    <w:p>
      <w:pPr>
        <w:numPr>
          <w:ilvl w:val="0"/>
          <w:numId w:val="53"/>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54"/>
        </w:numPr>
        <w:rPr>
          <w:rFonts w:ascii="宋体" w:hAnsi="宋体"/>
          <w:kern w:val="0"/>
        </w:rPr>
      </w:pPr>
      <w:r>
        <w:rPr>
          <w:rFonts w:hint="eastAsia" w:ascii="宋体" w:hAnsi="宋体"/>
          <w:bCs/>
          <w:kern w:val="0"/>
        </w:rPr>
        <w:t>上级机构可以查询下级机构的抵债资产入账信息。</w:t>
      </w:r>
    </w:p>
    <w:p>
      <w:pPr>
        <w:numPr>
          <w:ilvl w:val="0"/>
          <w:numId w:val="54"/>
        </w:numPr>
        <w:autoSpaceDE w:val="0"/>
        <w:autoSpaceDN w:val="0"/>
        <w:adjustRightInd w:val="0"/>
        <w:jc w:val="left"/>
      </w:pPr>
      <w:r>
        <w:rPr>
          <w:rFonts w:hint="eastAsia" w:ascii="宋体" w:hAnsi="宋体" w:cs="宋体"/>
          <w:kern w:val="0"/>
          <w:lang w:val="zh-CN"/>
        </w:rPr>
        <w:t>柜员可根据需要按“Ctrl+T”键选择打印机进行打印，其中打印项可灵活勾选确认。</w:t>
      </w: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rPr>
        <w:rFonts w:hint="eastAsia"/>
      </w:rPr>
      <w:drawing>
        <wp:inline distT="0" distB="0" distL="0" distR="0">
          <wp:extent cx="1724025" cy="2152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26371" cy="22829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w:t>
    </w:r>
    <w:r>
      <w:t>银行柜面</w:t>
    </w:r>
    <w:r>
      <w:rPr>
        <w:rFonts w:hint="eastAsia"/>
      </w:rPr>
      <w:t>业务</w:t>
    </w:r>
    <w:r>
      <w:t>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337105C"/>
    <w:multiLevelType w:val="multilevel"/>
    <w:tmpl w:val="0337105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6133177"/>
    <w:multiLevelType w:val="multilevel"/>
    <w:tmpl w:val="0613317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7102EEF"/>
    <w:multiLevelType w:val="multilevel"/>
    <w:tmpl w:val="07102EE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935631D"/>
    <w:multiLevelType w:val="multilevel"/>
    <w:tmpl w:val="0935631D"/>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5">
    <w:nsid w:val="09ED69F0"/>
    <w:multiLevelType w:val="multilevel"/>
    <w:tmpl w:val="09ED69F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B241F05"/>
    <w:multiLevelType w:val="multilevel"/>
    <w:tmpl w:val="0B241F0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D8442C1"/>
    <w:multiLevelType w:val="multilevel"/>
    <w:tmpl w:val="0D8442C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DC21055"/>
    <w:multiLevelType w:val="multilevel"/>
    <w:tmpl w:val="0DC21055"/>
    <w:lvl w:ilvl="0" w:tentative="0">
      <w:start w:val="1"/>
      <w:numFmt w:val="decimal"/>
      <w:lvlText w:val="%1．"/>
      <w:lvlJc w:val="left"/>
      <w:pPr>
        <w:tabs>
          <w:tab w:val="left" w:pos="846"/>
        </w:tabs>
        <w:ind w:left="6" w:firstLine="420"/>
      </w:pPr>
      <w:rPr>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FFA2D2E"/>
    <w:multiLevelType w:val="multilevel"/>
    <w:tmpl w:val="0FFA2D2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58C4DDF"/>
    <w:multiLevelType w:val="multilevel"/>
    <w:tmpl w:val="158C4DD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6AC09E1"/>
    <w:multiLevelType w:val="multilevel"/>
    <w:tmpl w:val="16AC09E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97D160F"/>
    <w:multiLevelType w:val="multilevel"/>
    <w:tmpl w:val="197D160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A0E4799"/>
    <w:multiLevelType w:val="multilevel"/>
    <w:tmpl w:val="1A0E479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B4144D8"/>
    <w:multiLevelType w:val="multilevel"/>
    <w:tmpl w:val="1B4144D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DE20E60"/>
    <w:multiLevelType w:val="multilevel"/>
    <w:tmpl w:val="1DE20E6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1AC6C76"/>
    <w:multiLevelType w:val="multilevel"/>
    <w:tmpl w:val="21AC6C7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688718B"/>
    <w:multiLevelType w:val="multilevel"/>
    <w:tmpl w:val="2688718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80D2679"/>
    <w:multiLevelType w:val="multilevel"/>
    <w:tmpl w:val="280D267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8B1515E"/>
    <w:multiLevelType w:val="multilevel"/>
    <w:tmpl w:val="28B1515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AA81A16"/>
    <w:multiLevelType w:val="multilevel"/>
    <w:tmpl w:val="2AA81A1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2D1543C5"/>
    <w:multiLevelType w:val="multilevel"/>
    <w:tmpl w:val="2D1543C5"/>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2">
    <w:nsid w:val="2F603AF7"/>
    <w:multiLevelType w:val="multilevel"/>
    <w:tmpl w:val="2F603AF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0847101"/>
    <w:multiLevelType w:val="multilevel"/>
    <w:tmpl w:val="3084710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6BA4046"/>
    <w:multiLevelType w:val="singleLevel"/>
    <w:tmpl w:val="36BA4046"/>
    <w:lvl w:ilvl="0" w:tentative="0">
      <w:start w:val="1"/>
      <w:numFmt w:val="decimal"/>
      <w:pStyle w:val="134"/>
      <w:lvlText w:val="%1."/>
      <w:lvlJc w:val="left"/>
      <w:pPr>
        <w:tabs>
          <w:tab w:val="left" w:pos="360"/>
        </w:tabs>
        <w:ind w:left="360" w:hanging="360"/>
      </w:pPr>
    </w:lvl>
  </w:abstractNum>
  <w:abstractNum w:abstractNumId="25">
    <w:nsid w:val="37E809B3"/>
    <w:multiLevelType w:val="multilevel"/>
    <w:tmpl w:val="37E809B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92D30E9"/>
    <w:multiLevelType w:val="multilevel"/>
    <w:tmpl w:val="392D30E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B7836E9"/>
    <w:multiLevelType w:val="multilevel"/>
    <w:tmpl w:val="3B7836E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3D51031D"/>
    <w:multiLevelType w:val="multilevel"/>
    <w:tmpl w:val="3D51031D"/>
    <w:lvl w:ilvl="0" w:tentative="0">
      <w:start w:val="1"/>
      <w:numFmt w:val="decimal"/>
      <w:lvlText w:val="%1."/>
      <w:lvlJc w:val="left"/>
      <w:pPr>
        <w:ind w:left="851" w:hanging="425"/>
      </w:pPr>
    </w:lvl>
    <w:lvl w:ilvl="1" w:tentative="0">
      <w:start w:val="1"/>
      <w:numFmt w:val="decimal"/>
      <w:lvlText w:val="%1.%2."/>
      <w:lvlJc w:val="left"/>
      <w:pPr>
        <w:ind w:left="993" w:hanging="567"/>
      </w:pPr>
    </w:lvl>
    <w:lvl w:ilvl="2" w:tentative="0">
      <w:start w:val="1"/>
      <w:numFmt w:val="decimal"/>
      <w:lvlText w:val="%1.%2.%3."/>
      <w:lvlJc w:val="left"/>
      <w:pPr>
        <w:ind w:left="1135" w:hanging="709"/>
      </w:pPr>
    </w:lvl>
    <w:lvl w:ilvl="3" w:tentative="0">
      <w:start w:val="1"/>
      <w:numFmt w:val="decimal"/>
      <w:lvlText w:val="%1.%2.%3.%4."/>
      <w:lvlJc w:val="left"/>
      <w:pPr>
        <w:ind w:left="1277" w:hanging="851"/>
      </w:pPr>
    </w:lvl>
    <w:lvl w:ilvl="4" w:tentative="0">
      <w:start w:val="1"/>
      <w:numFmt w:val="decimal"/>
      <w:lvlText w:val="%1.%2.%3.%4.%5."/>
      <w:lvlJc w:val="left"/>
      <w:pPr>
        <w:ind w:left="1418" w:hanging="992"/>
      </w:pPr>
    </w:lvl>
    <w:lvl w:ilvl="5" w:tentative="0">
      <w:start w:val="1"/>
      <w:numFmt w:val="decimal"/>
      <w:lvlText w:val="%1.%2.%3.%4.%5.%6."/>
      <w:lvlJc w:val="left"/>
      <w:pPr>
        <w:ind w:left="1560" w:hanging="1134"/>
      </w:pPr>
    </w:lvl>
    <w:lvl w:ilvl="6" w:tentative="0">
      <w:start w:val="1"/>
      <w:numFmt w:val="decimal"/>
      <w:lvlText w:val="%1.%2.%3.%4.%5.%6.%7."/>
      <w:lvlJc w:val="left"/>
      <w:pPr>
        <w:ind w:left="1702" w:hanging="1276"/>
      </w:pPr>
    </w:lvl>
    <w:lvl w:ilvl="7" w:tentative="0">
      <w:start w:val="1"/>
      <w:numFmt w:val="decimal"/>
      <w:lvlText w:val="%1.%2.%3.%4.%5.%6.%7.%8."/>
      <w:lvlJc w:val="left"/>
      <w:pPr>
        <w:ind w:left="1844" w:hanging="1418"/>
      </w:pPr>
    </w:lvl>
    <w:lvl w:ilvl="8" w:tentative="0">
      <w:start w:val="1"/>
      <w:numFmt w:val="decimal"/>
      <w:lvlText w:val="%1.%2.%3.%4.%5.%6.%7.%8.%9."/>
      <w:lvlJc w:val="left"/>
      <w:pPr>
        <w:ind w:left="1985" w:hanging="1559"/>
      </w:pPr>
    </w:lvl>
  </w:abstractNum>
  <w:abstractNum w:abstractNumId="29">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isLgl/>
      <w:suff w:val="space"/>
      <w:lvlText w:val="%1.%2"/>
      <w:lvlJc w:val="left"/>
      <w:pPr>
        <w:ind w:left="360" w:hanging="360"/>
      </w:pPr>
      <w:rPr>
        <w:rFonts w:hint="eastAsia" w:ascii="宋体" w:hAnsi="宋体" w:eastAsia="宋体"/>
        <w:sz w:val="21"/>
      </w:rPr>
    </w:lvl>
    <w:lvl w:ilvl="2" w:tentative="0">
      <w:start w:val="1"/>
      <w:numFmt w:val="decimal"/>
      <w:isLgl/>
      <w:suff w:val="space"/>
      <w:lvlText w:val="%1.%2.%3"/>
      <w:lvlJc w:val="left"/>
      <w:pPr>
        <w:ind w:left="720" w:hanging="720"/>
      </w:pPr>
      <w:rPr>
        <w:rFonts w:hint="default" w:ascii="宋体" w:hAnsi="宋体" w:eastAsia="宋体"/>
      </w:rPr>
    </w:lvl>
    <w:lvl w:ilvl="3" w:tentative="0">
      <w:start w:val="1"/>
      <w:numFmt w:val="decimal"/>
      <w:isLgl/>
      <w:suff w:val="space"/>
      <w:lvlText w:val="%1.%2.%3.%4"/>
      <w:lvlJc w:val="left"/>
      <w:pPr>
        <w:ind w:left="720" w:hanging="720"/>
      </w:pPr>
      <w:rPr>
        <w:rFonts w:hint="default" w:ascii="宋体" w:hAnsi="宋体" w:eastAsia="宋体"/>
      </w:rPr>
    </w:lvl>
    <w:lvl w:ilvl="4" w:tentative="0">
      <w:start w:val="1"/>
      <w:numFmt w:val="decimal"/>
      <w:isLgl/>
      <w:suff w:val="space"/>
      <w:lvlText w:val="%1.%2.%3.%4.%5"/>
      <w:lvlJc w:val="left"/>
      <w:pPr>
        <w:ind w:left="1080" w:hanging="1080"/>
      </w:pPr>
      <w:rPr>
        <w:rFonts w:hint="default" w:ascii="宋体" w:hAnsi="宋体" w:eastAsia="宋体"/>
      </w:rPr>
    </w:lvl>
    <w:lvl w:ilvl="5" w:tentative="0">
      <w:start w:val="1"/>
      <w:numFmt w:val="decimal"/>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0">
    <w:nsid w:val="44AE79C3"/>
    <w:multiLevelType w:val="multilevel"/>
    <w:tmpl w:val="44AE79C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523153C"/>
    <w:multiLevelType w:val="multilevel"/>
    <w:tmpl w:val="4523153C"/>
    <w:lvl w:ilvl="0" w:tentative="0">
      <w:start w:val="1"/>
      <w:numFmt w:val="decimal"/>
      <w:lvlText w:val="%1．"/>
      <w:lvlJc w:val="left"/>
      <w:pPr>
        <w:tabs>
          <w:tab w:val="left" w:pos="840"/>
        </w:tabs>
        <w:ind w:left="0" w:firstLine="420"/>
      </w:pPr>
      <w:rPr>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45616C11"/>
    <w:multiLevelType w:val="multilevel"/>
    <w:tmpl w:val="45616C11"/>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33">
    <w:nsid w:val="4C563857"/>
    <w:multiLevelType w:val="multilevel"/>
    <w:tmpl w:val="4C563857"/>
    <w:lvl w:ilvl="0" w:tentative="0">
      <w:start w:val="1"/>
      <w:numFmt w:val="decimal"/>
      <w:lvlText w:val="%1．"/>
      <w:lvlJc w:val="left"/>
      <w:pPr>
        <w:tabs>
          <w:tab w:val="left" w:pos="846"/>
        </w:tabs>
        <w:ind w:left="6" w:firstLine="420"/>
      </w:pPr>
      <w:rPr>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4D38194B"/>
    <w:multiLevelType w:val="multilevel"/>
    <w:tmpl w:val="4D38194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19462E0"/>
    <w:multiLevelType w:val="multilevel"/>
    <w:tmpl w:val="519462E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4CD0887"/>
    <w:multiLevelType w:val="multilevel"/>
    <w:tmpl w:val="54CD088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6DF6D48"/>
    <w:multiLevelType w:val="multilevel"/>
    <w:tmpl w:val="56DF6D4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85B6EE5"/>
    <w:multiLevelType w:val="multilevel"/>
    <w:tmpl w:val="585B6EE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B5E6CE6"/>
    <w:multiLevelType w:val="multilevel"/>
    <w:tmpl w:val="5B5E6CE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EA063A2"/>
    <w:multiLevelType w:val="multilevel"/>
    <w:tmpl w:val="5EA063A2"/>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41">
    <w:nsid w:val="61D57115"/>
    <w:multiLevelType w:val="multilevel"/>
    <w:tmpl w:val="61D57115"/>
    <w:lvl w:ilvl="0" w:tentative="0">
      <w:start w:val="1"/>
      <w:numFmt w:val="decimal"/>
      <w:lvlText w:val="%1．"/>
      <w:lvlJc w:val="left"/>
      <w:pPr>
        <w:tabs>
          <w:tab w:val="left" w:pos="840"/>
        </w:tabs>
        <w:ind w:left="0" w:firstLine="420"/>
      </w:pPr>
      <w:rPr>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626D4D89"/>
    <w:multiLevelType w:val="multilevel"/>
    <w:tmpl w:val="626D4D8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35D39BD"/>
    <w:multiLevelType w:val="multilevel"/>
    <w:tmpl w:val="635D39B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AD94B09"/>
    <w:multiLevelType w:val="multilevel"/>
    <w:tmpl w:val="6AD94B0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6D425791"/>
    <w:multiLevelType w:val="multilevel"/>
    <w:tmpl w:val="6D42579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EBE4A4A"/>
    <w:multiLevelType w:val="multilevel"/>
    <w:tmpl w:val="6EBE4A4A"/>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F90443B"/>
    <w:multiLevelType w:val="multilevel"/>
    <w:tmpl w:val="6F90443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713E189B"/>
    <w:multiLevelType w:val="multilevel"/>
    <w:tmpl w:val="713E189B"/>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49">
    <w:nsid w:val="74117929"/>
    <w:multiLevelType w:val="multilevel"/>
    <w:tmpl w:val="7411792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43028DB"/>
    <w:multiLevelType w:val="multilevel"/>
    <w:tmpl w:val="743028D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C4D693C"/>
    <w:multiLevelType w:val="multilevel"/>
    <w:tmpl w:val="7C4D693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7FE37F54"/>
    <w:multiLevelType w:val="multilevel"/>
    <w:tmpl w:val="7FE37F54"/>
    <w:lvl w:ilvl="0" w:tentative="0">
      <w:start w:val="1"/>
      <w:numFmt w:val="decimal"/>
      <w:lvlText w:val="%1."/>
      <w:lvlJc w:val="left"/>
      <w:pPr>
        <w:ind w:left="851" w:hanging="425"/>
      </w:pPr>
    </w:lvl>
    <w:lvl w:ilvl="1" w:tentative="0">
      <w:start w:val="1"/>
      <w:numFmt w:val="decimal"/>
      <w:lvlText w:val="%1.%2."/>
      <w:lvlJc w:val="left"/>
      <w:pPr>
        <w:ind w:left="993" w:hanging="567"/>
      </w:pPr>
    </w:lvl>
    <w:lvl w:ilvl="2" w:tentative="0">
      <w:start w:val="1"/>
      <w:numFmt w:val="decimal"/>
      <w:lvlText w:val="%1.%2.%3."/>
      <w:lvlJc w:val="left"/>
      <w:pPr>
        <w:ind w:left="1135" w:hanging="709"/>
      </w:pPr>
    </w:lvl>
    <w:lvl w:ilvl="3" w:tentative="0">
      <w:start w:val="1"/>
      <w:numFmt w:val="decimal"/>
      <w:lvlText w:val="%1.%2.%3.%4."/>
      <w:lvlJc w:val="left"/>
      <w:pPr>
        <w:ind w:left="1277" w:hanging="851"/>
      </w:pPr>
    </w:lvl>
    <w:lvl w:ilvl="4" w:tentative="0">
      <w:start w:val="1"/>
      <w:numFmt w:val="decimal"/>
      <w:lvlText w:val="%1.%2.%3.%4.%5."/>
      <w:lvlJc w:val="left"/>
      <w:pPr>
        <w:ind w:left="1418" w:hanging="992"/>
      </w:pPr>
    </w:lvl>
    <w:lvl w:ilvl="5" w:tentative="0">
      <w:start w:val="1"/>
      <w:numFmt w:val="decimal"/>
      <w:lvlText w:val="%1.%2.%3.%4.%5.%6."/>
      <w:lvlJc w:val="left"/>
      <w:pPr>
        <w:ind w:left="1560" w:hanging="1134"/>
      </w:pPr>
    </w:lvl>
    <w:lvl w:ilvl="6" w:tentative="0">
      <w:start w:val="1"/>
      <w:numFmt w:val="decimal"/>
      <w:lvlText w:val="%1.%2.%3.%4.%5.%6.%7."/>
      <w:lvlJc w:val="left"/>
      <w:pPr>
        <w:ind w:left="1702" w:hanging="1276"/>
      </w:pPr>
    </w:lvl>
    <w:lvl w:ilvl="7" w:tentative="0">
      <w:start w:val="1"/>
      <w:numFmt w:val="decimal"/>
      <w:lvlText w:val="%1.%2.%3.%4.%5.%6.%7.%8."/>
      <w:lvlJc w:val="left"/>
      <w:pPr>
        <w:ind w:left="1844" w:hanging="1418"/>
      </w:pPr>
    </w:lvl>
    <w:lvl w:ilvl="8" w:tentative="0">
      <w:start w:val="1"/>
      <w:numFmt w:val="decimal"/>
      <w:lvlText w:val="%1.%2.%3.%4.%5.%6.%7.%8.%9."/>
      <w:lvlJc w:val="left"/>
      <w:pPr>
        <w:ind w:left="1985" w:hanging="1559"/>
      </w:pPr>
    </w:lvl>
  </w:abstractNum>
  <w:num w:numId="1">
    <w:abstractNumId w:val="29"/>
    <w:lvlOverride w:ilvl="0">
      <w:lvl w:ilvl="0" w:tentative="1">
        <w:start w:val="1"/>
        <w:numFmt w:val="chineseCountingThousand"/>
        <w:pStyle w:val="2"/>
        <w:suff w:val="space"/>
        <w:lvlText w:val="第%1章"/>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1">
      <w:lvl w:ilvl="1" w:tentative="1">
        <w:start w:val="1"/>
        <w:numFmt w:val="decimal"/>
        <w:pStyle w:val="3"/>
        <w:isLgl/>
        <w:suff w:val="space"/>
        <w:lvlText w:val="%1.%2"/>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2">
      <w:lvl w:ilvl="2" w:tentative="1">
        <w:start w:val="1"/>
        <w:numFmt w:val="decimal"/>
        <w:pStyle w:val="4"/>
        <w:isLgl/>
        <w:suff w:val="space"/>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3">
      <w:lvl w:ilvl="3" w:tentative="1">
        <w:start w:val="1"/>
        <w:numFmt w:val="decimal"/>
        <w:pStyle w:val="5"/>
        <w:isLgl/>
        <w:suff w:val="space"/>
        <w:lvlText w:val="%1.%2.%3.%4"/>
        <w:lvlJc w:val="left"/>
        <w:pPr>
          <w:ind w:left="1429"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4">
      <w:lvl w:ilvl="4" w:tentative="1">
        <w:start w:val="1"/>
        <w:numFmt w:val="decimal"/>
        <w:isLgl/>
        <w:suff w:val="space"/>
        <w:lvlText w:val="%1.%2.%3.%4.%5"/>
        <w:lvlJc w:val="left"/>
        <w:pPr>
          <w:ind w:left="3774" w:hanging="1080"/>
        </w:pPr>
        <w:rPr>
          <w:rFonts w:hint="default" w:ascii="宋体" w:hAnsi="宋体" w:eastAsia="宋体"/>
        </w:rPr>
      </w:lvl>
    </w:lvlOverride>
    <w:lvlOverride w:ilvl="5">
      <w:lvl w:ilvl="5" w:tentative="1">
        <w:start w:val="1"/>
        <w:numFmt w:val="decimal"/>
        <w:isLgl/>
        <w:suff w:val="space"/>
        <w:lvlText w:val="%1.%2.%3.%4.%5.%6"/>
        <w:lvlJc w:val="left"/>
        <w:pPr>
          <w:ind w:left="1080" w:hanging="1080"/>
        </w:pPr>
        <w:rPr>
          <w:rFonts w:hint="default" w:ascii="宋体" w:hAnsi="宋体" w:eastAsia="宋体"/>
        </w:rPr>
      </w:lvl>
    </w:lvlOverride>
  </w:num>
  <w:num w:numId="2">
    <w:abstractNumId w:val="0"/>
  </w:num>
  <w:num w:numId="3">
    <w:abstractNumId w:val="24"/>
  </w:num>
  <w:num w:numId="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A2D07"/>
    <w:rsid w:val="00001FEE"/>
    <w:rsid w:val="00027663"/>
    <w:rsid w:val="000E4F9B"/>
    <w:rsid w:val="001A5678"/>
    <w:rsid w:val="001C1401"/>
    <w:rsid w:val="00227032"/>
    <w:rsid w:val="002A2D07"/>
    <w:rsid w:val="00337922"/>
    <w:rsid w:val="003C4E91"/>
    <w:rsid w:val="00424B4B"/>
    <w:rsid w:val="004266A8"/>
    <w:rsid w:val="00436E7B"/>
    <w:rsid w:val="00572E6C"/>
    <w:rsid w:val="00577756"/>
    <w:rsid w:val="005C1406"/>
    <w:rsid w:val="00607B76"/>
    <w:rsid w:val="006410DC"/>
    <w:rsid w:val="0079642C"/>
    <w:rsid w:val="00857060"/>
    <w:rsid w:val="00922B90"/>
    <w:rsid w:val="009E541A"/>
    <w:rsid w:val="009F0A5A"/>
    <w:rsid w:val="00B40778"/>
    <w:rsid w:val="00B66D66"/>
    <w:rsid w:val="00BA03A6"/>
    <w:rsid w:val="00CA111F"/>
    <w:rsid w:val="00CD4226"/>
    <w:rsid w:val="00D46373"/>
    <w:rsid w:val="00E33CFB"/>
    <w:rsid w:val="00E775F8"/>
    <w:rsid w:val="00E914B2"/>
    <w:rsid w:val="00E949F8"/>
    <w:rsid w:val="00F50789"/>
    <w:rsid w:val="10FC54B5"/>
    <w:rsid w:val="32BA0AF9"/>
    <w:rsid w:val="6B1D234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jc w:val="center"/>
      <w:outlineLvl w:val="0"/>
    </w:pPr>
    <w:rPr>
      <w:rFonts w:ascii="宋体" w:hAnsi="宋体"/>
      <w:b/>
      <w:bCs/>
      <w:color w:val="000000"/>
      <w:kern w:val="44"/>
      <w:sz w:val="32"/>
      <w:szCs w:val="32"/>
    </w:rPr>
  </w:style>
  <w:style w:type="paragraph" w:styleId="3">
    <w:name w:val="heading 2"/>
    <w:basedOn w:val="1"/>
    <w:next w:val="1"/>
    <w:link w:val="54"/>
    <w:qFormat/>
    <w:uiPriority w:val="0"/>
    <w:pPr>
      <w:keepNext/>
      <w:keepLines/>
      <w:numPr>
        <w:ilvl w:val="1"/>
        <w:numId w:val="1"/>
      </w:numPr>
      <w:tabs>
        <w:tab w:val="left" w:pos="567"/>
      </w:tabs>
      <w:spacing w:before="260" w:after="260" w:line="415" w:lineRule="auto"/>
      <w:outlineLvl w:val="1"/>
    </w:pPr>
    <w:rPr>
      <w:rFonts w:ascii="宋体" w:hAnsi="宋体"/>
      <w:b/>
      <w:bCs/>
      <w:kern w:val="0"/>
    </w:rPr>
  </w:style>
  <w:style w:type="paragraph" w:styleId="4">
    <w:name w:val="heading 3"/>
    <w:basedOn w:val="1"/>
    <w:next w:val="1"/>
    <w:link w:val="55"/>
    <w:qFormat/>
    <w:uiPriority w:val="0"/>
    <w:pPr>
      <w:keepNext/>
      <w:keepLines/>
      <w:numPr>
        <w:ilvl w:val="2"/>
        <w:numId w:val="1"/>
      </w:numPr>
      <w:tabs>
        <w:tab w:val="left" w:pos="851"/>
      </w:tabs>
      <w:outlineLvl w:val="2"/>
    </w:pPr>
    <w:rPr>
      <w:rFonts w:ascii="宋体" w:hAnsi="宋体"/>
      <w:b/>
      <w:bCs/>
      <w:kern w:val="0"/>
    </w:rPr>
  </w:style>
  <w:style w:type="paragraph" w:styleId="5">
    <w:name w:val="heading 4"/>
    <w:basedOn w:val="1"/>
    <w:next w:val="1"/>
    <w:link w:val="56"/>
    <w:qFormat/>
    <w:uiPriority w:val="9"/>
    <w:pPr>
      <w:keepNext/>
      <w:keepLines/>
      <w:numPr>
        <w:ilvl w:val="3"/>
        <w:numId w:val="1"/>
      </w:numPr>
      <w:tabs>
        <w:tab w:val="left" w:pos="993"/>
      </w:tabs>
      <w:outlineLvl w:val="3"/>
    </w:pPr>
    <w:rPr>
      <w:rFonts w:ascii="宋体" w:hAnsi="宋体"/>
      <w:b/>
      <w:bCs/>
      <w:kern w:val="0"/>
    </w:rPr>
  </w:style>
  <w:style w:type="paragraph" w:styleId="6">
    <w:name w:val="heading 5"/>
    <w:basedOn w:val="1"/>
    <w:next w:val="1"/>
    <w:link w:val="57"/>
    <w:qFormat/>
    <w:uiPriority w:val="9"/>
    <w:pPr>
      <w:keepNext/>
      <w:keepLines/>
      <w:spacing w:before="280" w:after="290" w:line="376" w:lineRule="auto"/>
      <w:outlineLvl w:val="4"/>
    </w:pPr>
    <w:rPr>
      <w:b/>
      <w:bCs/>
      <w:kern w:val="0"/>
      <w:sz w:val="20"/>
      <w:szCs w:val="28"/>
    </w:rPr>
  </w:style>
  <w:style w:type="paragraph" w:styleId="7">
    <w:name w:val="heading 6"/>
    <w:basedOn w:val="1"/>
    <w:next w:val="1"/>
    <w:link w:val="5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5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6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6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27"/>
    <w:semiHidden/>
    <w:qFormat/>
    <w:uiPriority w:val="0"/>
    <w:rPr>
      <w:b/>
      <w:bCs/>
    </w:rPr>
  </w:style>
  <w:style w:type="paragraph" w:styleId="12">
    <w:name w:val="annotation text"/>
    <w:basedOn w:val="1"/>
    <w:link w:val="126"/>
    <w:qFormat/>
    <w:uiPriority w:val="0"/>
    <w:pPr>
      <w:jc w:val="left"/>
    </w:pPr>
    <w:rPr>
      <w:kern w:val="0"/>
      <w:sz w:val="20"/>
      <w:szCs w:val="20"/>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2"/>
      </w:numPr>
    </w:pPr>
  </w:style>
  <w:style w:type="paragraph" w:styleId="18">
    <w:name w:val="Document Map"/>
    <w:basedOn w:val="1"/>
    <w:link w:val="67"/>
    <w:unhideWhenUsed/>
    <w:qFormat/>
    <w:uiPriority w:val="99"/>
    <w:rPr>
      <w:rFonts w:ascii="宋体"/>
      <w:kern w:val="0"/>
      <w:sz w:val="18"/>
      <w:szCs w:val="18"/>
    </w:rPr>
  </w:style>
  <w:style w:type="paragraph" w:styleId="19">
    <w:name w:val="Body Text"/>
    <w:basedOn w:val="1"/>
    <w:link w:val="64"/>
    <w:qFormat/>
    <w:uiPriority w:val="0"/>
    <w:pPr>
      <w:spacing w:after="120" w:line="360" w:lineRule="auto"/>
    </w:pPr>
    <w:rPr>
      <w:rFonts w:cstheme="minorBidi"/>
      <w:szCs w:val="22"/>
    </w:rPr>
  </w:style>
  <w:style w:type="paragraph" w:styleId="20">
    <w:name w:val="Body Text Indent"/>
    <w:basedOn w:val="1"/>
    <w:link w:val="86"/>
    <w:qFormat/>
    <w:uiPriority w:val="0"/>
    <w:pPr>
      <w:spacing w:after="120"/>
      <w:ind w:left="420" w:leftChars="200"/>
    </w:pPr>
    <w:rPr>
      <w:kern w:val="0"/>
      <w:sz w:val="20"/>
    </w:r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85"/>
    <w:qFormat/>
    <w:uiPriority w:val="0"/>
    <w:pPr>
      <w:adjustRightInd w:val="0"/>
      <w:spacing w:line="360" w:lineRule="auto"/>
    </w:pPr>
    <w:rPr>
      <w:rFonts w:ascii="宋体" w:hAnsi="Courier New"/>
      <w:kern w:val="0"/>
      <w:sz w:val="2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70"/>
    <w:unhideWhenUsed/>
    <w:qFormat/>
    <w:uiPriority w:val="99"/>
    <w:pPr>
      <w:ind w:left="100" w:leftChars="2500"/>
    </w:pPr>
    <w:rPr>
      <w:kern w:val="0"/>
      <w:sz w:val="20"/>
    </w:rPr>
  </w:style>
  <w:style w:type="paragraph" w:styleId="27">
    <w:name w:val="Body Text Indent 2"/>
    <w:basedOn w:val="1"/>
    <w:link w:val="117"/>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66"/>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center"/>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73"/>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8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20"/>
    <w:qFormat/>
    <w:uiPriority w:val="0"/>
    <w:pPr>
      <w:spacing w:after="120" w:line="480" w:lineRule="auto"/>
    </w:pPr>
    <w:rPr>
      <w:kern w:val="0"/>
      <w:sz w:val="20"/>
      <w:szCs w:val="20"/>
    </w:rPr>
  </w:style>
  <w:style w:type="paragraph" w:styleId="41">
    <w:name w:val="Title"/>
    <w:basedOn w:val="1"/>
    <w:next w:val="1"/>
    <w:link w:val="69"/>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semiHidden/>
    <w:unhideWhenUsed/>
    <w:qFormat/>
    <w:uiPriority w:val="99"/>
    <w:rPr>
      <w:color w:val="800080"/>
      <w:u w:val="single"/>
    </w:rPr>
  </w:style>
  <w:style w:type="character" w:styleId="46">
    <w:name w:val="Emphasis"/>
    <w:qFormat/>
    <w:uiPriority w:val="20"/>
    <w:rPr>
      <w:i/>
      <w:iCs/>
    </w:rPr>
  </w:style>
  <w:style w:type="character" w:styleId="47">
    <w:name w:val="Hyperlink"/>
    <w:qFormat/>
    <w:uiPriority w:val="0"/>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宋体" w:hAnsi="宋体" w:eastAsia="宋体" w:cs="Times New Roman"/>
      <w:b/>
      <w:bCs/>
      <w:color w:val="000000"/>
      <w:kern w:val="44"/>
      <w:sz w:val="32"/>
      <w:szCs w:val="32"/>
    </w:rPr>
  </w:style>
  <w:style w:type="character" w:customStyle="1" w:styleId="54">
    <w:name w:val="标题 2 Char"/>
    <w:basedOn w:val="42"/>
    <w:link w:val="3"/>
    <w:qFormat/>
    <w:uiPriority w:val="0"/>
    <w:rPr>
      <w:rFonts w:ascii="宋体" w:hAnsi="宋体" w:eastAsia="宋体" w:cs="Times New Roman"/>
      <w:b/>
      <w:bCs/>
      <w:kern w:val="0"/>
      <w:szCs w:val="21"/>
    </w:rPr>
  </w:style>
  <w:style w:type="character" w:customStyle="1" w:styleId="55">
    <w:name w:val="标题 3 Char"/>
    <w:basedOn w:val="42"/>
    <w:link w:val="4"/>
    <w:qFormat/>
    <w:uiPriority w:val="0"/>
    <w:rPr>
      <w:rFonts w:ascii="宋体" w:hAnsi="宋体" w:eastAsia="宋体" w:cs="Times New Roman"/>
      <w:b/>
      <w:bCs/>
      <w:kern w:val="0"/>
      <w:szCs w:val="21"/>
    </w:rPr>
  </w:style>
  <w:style w:type="character" w:customStyle="1" w:styleId="56">
    <w:name w:val="标题 4 Char"/>
    <w:basedOn w:val="42"/>
    <w:link w:val="5"/>
    <w:qFormat/>
    <w:uiPriority w:val="9"/>
    <w:rPr>
      <w:rFonts w:ascii="宋体" w:hAnsi="宋体" w:eastAsia="宋体" w:cs="Times New Roman"/>
      <w:b/>
      <w:bCs/>
      <w:kern w:val="0"/>
      <w:szCs w:val="21"/>
    </w:rPr>
  </w:style>
  <w:style w:type="character" w:customStyle="1" w:styleId="57">
    <w:name w:val="标题 5 Char"/>
    <w:basedOn w:val="42"/>
    <w:link w:val="6"/>
    <w:qFormat/>
    <w:uiPriority w:val="9"/>
    <w:rPr>
      <w:rFonts w:ascii="Calibri" w:hAnsi="Calibri" w:eastAsia="宋体" w:cs="Times New Roman"/>
      <w:b/>
      <w:bCs/>
      <w:kern w:val="0"/>
      <w:sz w:val="20"/>
      <w:szCs w:val="28"/>
    </w:rPr>
  </w:style>
  <w:style w:type="character" w:customStyle="1" w:styleId="58">
    <w:name w:val="标题 6 Char"/>
    <w:basedOn w:val="42"/>
    <w:link w:val="7"/>
    <w:qFormat/>
    <w:uiPriority w:val="9"/>
    <w:rPr>
      <w:rFonts w:ascii="Cambria" w:hAnsi="Cambria" w:eastAsia="宋体" w:cs="Times New Roman"/>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表内容 Char"/>
    <w:link w:val="63"/>
    <w:qFormat/>
    <w:uiPriority w:val="0"/>
    <w:rPr>
      <w:rFonts w:ascii="Calibri" w:hAnsi="Calibri" w:eastAsia="宋体" w:cs="Times New Roman"/>
    </w:rPr>
  </w:style>
  <w:style w:type="paragraph" w:customStyle="1" w:styleId="63">
    <w:name w:val="表内容"/>
    <w:basedOn w:val="1"/>
    <w:link w:val="62"/>
    <w:qFormat/>
    <w:uiPriority w:val="0"/>
    <w:pPr>
      <w:spacing w:line="360" w:lineRule="auto"/>
    </w:pPr>
    <w:rPr>
      <w:szCs w:val="22"/>
    </w:rPr>
  </w:style>
  <w:style w:type="character" w:customStyle="1" w:styleId="64">
    <w:name w:val="正文文本 Char"/>
    <w:link w:val="19"/>
    <w:qFormat/>
    <w:uiPriority w:val="0"/>
    <w:rPr>
      <w:rFonts w:ascii="Calibri" w:hAnsi="Calibri" w:eastAsia="宋体"/>
    </w:rPr>
  </w:style>
  <w:style w:type="character" w:customStyle="1" w:styleId="65">
    <w:name w:val="正文文本 Char1"/>
    <w:basedOn w:val="42"/>
    <w:qFormat/>
    <w:uiPriority w:val="99"/>
    <w:rPr>
      <w:rFonts w:ascii="Calibri" w:hAnsi="Calibri" w:eastAsia="宋体" w:cs="Times New Roman"/>
      <w:szCs w:val="21"/>
    </w:rPr>
  </w:style>
  <w:style w:type="character" w:customStyle="1" w:styleId="66">
    <w:name w:val="批注框文本 Char"/>
    <w:basedOn w:val="42"/>
    <w:link w:val="28"/>
    <w:qFormat/>
    <w:uiPriority w:val="99"/>
    <w:rPr>
      <w:rFonts w:ascii="Calibri" w:hAnsi="Calibri" w:eastAsia="宋体" w:cs="Times New Roman"/>
      <w:kern w:val="0"/>
      <w:sz w:val="18"/>
      <w:szCs w:val="18"/>
    </w:rPr>
  </w:style>
  <w:style w:type="character" w:customStyle="1" w:styleId="67">
    <w:name w:val="文档结构图 Char"/>
    <w:basedOn w:val="42"/>
    <w:link w:val="18"/>
    <w:qFormat/>
    <w:uiPriority w:val="99"/>
    <w:rPr>
      <w:rFonts w:ascii="宋体" w:hAnsi="Calibri" w:eastAsia="宋体" w:cs="Times New Roman"/>
      <w:kern w:val="0"/>
      <w:sz w:val="18"/>
      <w:szCs w:val="18"/>
    </w:rPr>
  </w:style>
  <w:style w:type="paragraph" w:customStyle="1" w:styleId="68">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69">
    <w:name w:val="标题 Char"/>
    <w:basedOn w:val="42"/>
    <w:link w:val="41"/>
    <w:qFormat/>
    <w:uiPriority w:val="10"/>
    <w:rPr>
      <w:rFonts w:ascii="Cambria" w:hAnsi="Cambria" w:eastAsia="宋体" w:cs="Times New Roman"/>
      <w:b/>
      <w:bCs/>
      <w:kern w:val="0"/>
      <w:sz w:val="32"/>
      <w:szCs w:val="32"/>
    </w:rPr>
  </w:style>
  <w:style w:type="character" w:customStyle="1" w:styleId="70">
    <w:name w:val="日期 Char"/>
    <w:basedOn w:val="42"/>
    <w:link w:val="26"/>
    <w:qFormat/>
    <w:uiPriority w:val="99"/>
    <w:rPr>
      <w:rFonts w:ascii="Calibri" w:hAnsi="Calibri" w:eastAsia="宋体" w:cs="Times New Roman"/>
      <w:kern w:val="0"/>
      <w:sz w:val="20"/>
      <w:szCs w:val="21"/>
    </w:rPr>
  </w:style>
  <w:style w:type="paragraph" w:styleId="71">
    <w:name w:val="List Paragraph"/>
    <w:basedOn w:val="1"/>
    <w:qFormat/>
    <w:uiPriority w:val="34"/>
    <w:pPr>
      <w:ind w:firstLine="420" w:firstLineChars="200"/>
    </w:pPr>
  </w:style>
  <w:style w:type="character" w:customStyle="1" w:styleId="72">
    <w:name w:val="Book Title"/>
    <w:qFormat/>
    <w:uiPriority w:val="33"/>
    <w:rPr>
      <w:b/>
      <w:bCs/>
      <w:smallCaps/>
      <w:spacing w:val="5"/>
    </w:rPr>
  </w:style>
  <w:style w:type="character" w:customStyle="1" w:styleId="73">
    <w:name w:val="副标题 Char"/>
    <w:basedOn w:val="42"/>
    <w:link w:val="35"/>
    <w:qFormat/>
    <w:uiPriority w:val="11"/>
    <w:rPr>
      <w:rFonts w:ascii="Cambria" w:hAnsi="Cambria" w:eastAsia="宋体" w:cs="Times New Roman"/>
      <w:b/>
      <w:bCs/>
      <w:kern w:val="28"/>
      <w:sz w:val="32"/>
      <w:szCs w:val="32"/>
    </w:rPr>
  </w:style>
  <w:style w:type="paragraph" w:styleId="74">
    <w:name w:val="No Spacing"/>
    <w:link w:val="124"/>
    <w:qFormat/>
    <w:uiPriority w:val="1"/>
    <w:pPr>
      <w:widowControl w:val="0"/>
      <w:jc w:val="both"/>
    </w:pPr>
    <w:rPr>
      <w:rFonts w:ascii="Calibri" w:hAnsi="Calibri" w:eastAsia="宋体" w:cs="Times New Roman"/>
      <w:kern w:val="0"/>
      <w:sz w:val="20"/>
      <w:szCs w:val="21"/>
      <w:lang w:val="en-US" w:eastAsia="zh-CN" w:bidi="ar-SA"/>
    </w:rPr>
  </w:style>
  <w:style w:type="paragraph" w:styleId="75">
    <w:name w:val="Quote"/>
    <w:basedOn w:val="1"/>
    <w:next w:val="1"/>
    <w:link w:val="76"/>
    <w:qFormat/>
    <w:uiPriority w:val="29"/>
    <w:rPr>
      <w:i/>
      <w:iCs/>
      <w:color w:val="000000"/>
      <w:kern w:val="0"/>
      <w:sz w:val="20"/>
      <w:szCs w:val="20"/>
    </w:rPr>
  </w:style>
  <w:style w:type="character" w:customStyle="1" w:styleId="76">
    <w:name w:val="引用 Char"/>
    <w:basedOn w:val="42"/>
    <w:link w:val="75"/>
    <w:qFormat/>
    <w:uiPriority w:val="29"/>
    <w:rPr>
      <w:rFonts w:ascii="Calibri" w:hAnsi="Calibri" w:eastAsia="宋体" w:cs="Times New Roman"/>
      <w:i/>
      <w:iCs/>
      <w:color w:val="000000"/>
      <w:kern w:val="0"/>
      <w:sz w:val="20"/>
      <w:szCs w:val="20"/>
    </w:rPr>
  </w:style>
  <w:style w:type="paragraph" w:styleId="77">
    <w:name w:val="Intense Quote"/>
    <w:basedOn w:val="1"/>
    <w:next w:val="1"/>
    <w:link w:val="78"/>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78">
    <w:name w:val="明显引用 Char"/>
    <w:basedOn w:val="42"/>
    <w:link w:val="77"/>
    <w:qFormat/>
    <w:uiPriority w:val="30"/>
    <w:rPr>
      <w:rFonts w:ascii="Calibri" w:hAnsi="Calibri" w:eastAsia="宋体" w:cs="Times New Roman"/>
      <w:b/>
      <w:bCs/>
      <w:i/>
      <w:iCs/>
      <w:color w:val="4F81BD"/>
      <w:kern w:val="0"/>
      <w:sz w:val="20"/>
      <w:szCs w:val="20"/>
    </w:rPr>
  </w:style>
  <w:style w:type="character" w:customStyle="1" w:styleId="79">
    <w:name w:val="Subtle Emphasis"/>
    <w:qFormat/>
    <w:uiPriority w:val="19"/>
    <w:rPr>
      <w:i/>
      <w:iCs/>
      <w:color w:val="808080"/>
    </w:rPr>
  </w:style>
  <w:style w:type="character" w:customStyle="1" w:styleId="80">
    <w:name w:val="Intense Emphasis"/>
    <w:qFormat/>
    <w:uiPriority w:val="21"/>
    <w:rPr>
      <w:b/>
      <w:bCs/>
      <w:i/>
      <w:iCs/>
      <w:color w:val="4F81BD"/>
    </w:rPr>
  </w:style>
  <w:style w:type="character" w:customStyle="1" w:styleId="81">
    <w:name w:val="Subtle Reference"/>
    <w:qFormat/>
    <w:uiPriority w:val="31"/>
    <w:rPr>
      <w:smallCaps/>
      <w:color w:val="C0504D"/>
      <w:u w:val="single"/>
    </w:rPr>
  </w:style>
  <w:style w:type="character" w:customStyle="1" w:styleId="82">
    <w:name w:val="Intense Reference"/>
    <w:qFormat/>
    <w:uiPriority w:val="32"/>
    <w:rPr>
      <w:b/>
      <w:bCs/>
      <w:smallCaps/>
      <w:color w:val="C0504D"/>
      <w:spacing w:val="5"/>
      <w:u w:val="single"/>
    </w:rPr>
  </w:style>
  <w:style w:type="paragraph" w:customStyle="1" w:styleId="83">
    <w:name w:val="TOC Heading"/>
    <w:basedOn w:val="2"/>
    <w:next w:val="1"/>
    <w:qFormat/>
    <w:uiPriority w:val="39"/>
    <w:pPr>
      <w:outlineLvl w:val="9"/>
    </w:pPr>
    <w:rPr>
      <w:rFonts w:ascii="Calibri" w:hAnsi="Calibri"/>
    </w:rPr>
  </w:style>
  <w:style w:type="character" w:customStyle="1" w:styleId="84">
    <w:name w:val="正文文本缩进 3 Char"/>
    <w:basedOn w:val="42"/>
    <w:link w:val="37"/>
    <w:qFormat/>
    <w:uiPriority w:val="0"/>
    <w:rPr>
      <w:rFonts w:ascii="Book Antiqua" w:hAnsi="Book Antiqua" w:eastAsia="宋体" w:cs="Times New Roman"/>
      <w:kern w:val="0"/>
      <w:sz w:val="24"/>
      <w:szCs w:val="20"/>
    </w:rPr>
  </w:style>
  <w:style w:type="character" w:customStyle="1" w:styleId="85">
    <w:name w:val="纯文本 Char"/>
    <w:basedOn w:val="42"/>
    <w:link w:val="24"/>
    <w:qFormat/>
    <w:uiPriority w:val="0"/>
    <w:rPr>
      <w:rFonts w:ascii="宋体" w:hAnsi="Courier New" w:eastAsia="宋体" w:cs="Times New Roman"/>
      <w:kern w:val="0"/>
      <w:sz w:val="20"/>
      <w:szCs w:val="20"/>
    </w:rPr>
  </w:style>
  <w:style w:type="character" w:customStyle="1" w:styleId="86">
    <w:name w:val="正文文本缩进 Char"/>
    <w:basedOn w:val="42"/>
    <w:link w:val="20"/>
    <w:qFormat/>
    <w:uiPriority w:val="0"/>
    <w:rPr>
      <w:rFonts w:ascii="Calibri" w:hAnsi="Calibri" w:eastAsia="宋体" w:cs="Times New Roman"/>
      <w:kern w:val="0"/>
      <w:sz w:val="20"/>
      <w:szCs w:val="21"/>
    </w:rPr>
  </w:style>
  <w:style w:type="paragraph" w:customStyle="1" w:styleId="87">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character" w:customStyle="1" w:styleId="90">
    <w:name w:val="表内容 Char Char"/>
    <w:qFormat/>
    <w:uiPriority w:val="0"/>
    <w:rPr>
      <w:kern w:val="2"/>
      <w:sz w:val="21"/>
      <w:szCs w:val="22"/>
    </w:rPr>
  </w:style>
  <w:style w:type="paragraph" w:customStyle="1" w:styleId="91">
    <w:name w:val="样式5"/>
    <w:basedOn w:val="6"/>
    <w:qFormat/>
    <w:uiPriority w:val="0"/>
    <w:pPr>
      <w:spacing w:before="0" w:after="0" w:line="320" w:lineRule="exact"/>
      <w:jc w:val="left"/>
    </w:pPr>
    <w:rPr>
      <w:rFonts w:ascii="宋体" w:hAnsi="Times New Roman"/>
      <w:bCs w:val="0"/>
      <w:color w:val="000000"/>
      <w:szCs w:val="21"/>
    </w:rPr>
  </w:style>
  <w:style w:type="character" w:customStyle="1" w:styleId="92">
    <w:name w:val="正文文本缩进 Char1"/>
    <w:qFormat/>
    <w:uiPriority w:val="0"/>
    <w:rPr>
      <w:kern w:val="2"/>
      <w:sz w:val="21"/>
      <w:szCs w:val="21"/>
    </w:rPr>
  </w:style>
  <w:style w:type="paragraph" w:customStyle="1" w:styleId="93">
    <w:name w:val="样式7"/>
    <w:basedOn w:val="1"/>
    <w:qFormat/>
    <w:uiPriority w:val="0"/>
    <w:pPr>
      <w:jc w:val="left"/>
    </w:pPr>
    <w:rPr>
      <w:rFonts w:ascii="宋体" w:hAnsi="Times New Roman"/>
      <w:bCs/>
      <w:snapToGrid w:val="0"/>
      <w:kern w:val="0"/>
      <w:szCs w:val="32"/>
    </w:rPr>
  </w:style>
  <w:style w:type="paragraph" w:customStyle="1" w:styleId="94">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95">
    <w:name w:val="批注框文本 Char1"/>
    <w:uiPriority w:val="0"/>
    <w:rPr>
      <w:rFonts w:ascii="Calibri" w:hAnsi="Calibri" w:eastAsia="宋体"/>
      <w:sz w:val="18"/>
      <w:szCs w:val="18"/>
      <w:lang w:bidi="ar-SA"/>
    </w:rPr>
  </w:style>
  <w:style w:type="character" w:customStyle="1" w:styleId="96">
    <w:name w:val="批注框文本 Char Char"/>
    <w:uiPriority w:val="0"/>
    <w:rPr>
      <w:rFonts w:ascii="Times New Roman" w:hAnsi="Times New Roman" w:eastAsia="宋体" w:cs="Times New Roman"/>
      <w:sz w:val="18"/>
      <w:szCs w:val="18"/>
    </w:rPr>
  </w:style>
  <w:style w:type="character" w:customStyle="1" w:styleId="97">
    <w:name w:val="页眉 Char Char"/>
    <w:qFormat/>
    <w:uiPriority w:val="0"/>
    <w:rPr>
      <w:rFonts w:ascii="Times New Roman" w:hAnsi="Times New Roman" w:eastAsia="宋体" w:cs="Times New Roman"/>
      <w:sz w:val="18"/>
      <w:szCs w:val="18"/>
    </w:rPr>
  </w:style>
  <w:style w:type="character" w:customStyle="1" w:styleId="98">
    <w:name w:val="纯文本 Char Char"/>
    <w:qFormat/>
    <w:uiPriority w:val="0"/>
    <w:rPr>
      <w:rFonts w:ascii="宋体" w:hAnsi="Courier New" w:eastAsia="宋体" w:cs="Courier New"/>
      <w:szCs w:val="21"/>
    </w:rPr>
  </w:style>
  <w:style w:type="character" w:customStyle="1" w:styleId="99">
    <w:name w:val="正文5 Char Char"/>
    <w:link w:val="100"/>
    <w:qFormat/>
    <w:uiPriority w:val="0"/>
    <w:rPr>
      <w:rFonts w:ascii="宋体" w:hAnsi="Courier New"/>
      <w:bCs/>
      <w:color w:val="000000"/>
      <w:szCs w:val="24"/>
    </w:rPr>
  </w:style>
  <w:style w:type="paragraph" w:customStyle="1" w:styleId="100">
    <w:name w:val="正文5"/>
    <w:basedOn w:val="1"/>
    <w:link w:val="99"/>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01">
    <w:name w:val="Char Char8"/>
    <w:qFormat/>
    <w:uiPriority w:val="0"/>
    <w:rPr>
      <w:rFonts w:ascii="Arial" w:hAnsi="Arial" w:eastAsia="黑体"/>
      <w:b/>
      <w:bCs/>
      <w:kern w:val="2"/>
      <w:sz w:val="32"/>
      <w:szCs w:val="32"/>
      <w:lang w:val="en-US" w:eastAsia="zh-CN" w:bidi="ar-SA"/>
    </w:rPr>
  </w:style>
  <w:style w:type="character" w:customStyle="1" w:styleId="102">
    <w:name w:val="Char Char1"/>
    <w:qFormat/>
    <w:uiPriority w:val="0"/>
    <w:rPr>
      <w:rFonts w:ascii="Calibri" w:hAnsi="Calibri" w:eastAsia="宋体"/>
      <w:lang w:bidi="ar-SA"/>
    </w:rPr>
  </w:style>
  <w:style w:type="character" w:customStyle="1" w:styleId="103">
    <w:name w:val="正文文本缩进 Char Char"/>
    <w:qFormat/>
    <w:uiPriority w:val="0"/>
    <w:rPr>
      <w:rFonts w:ascii="Times New Roman" w:hAnsi="Times New Roman" w:eastAsia="宋体" w:cs="Times New Roman"/>
      <w:szCs w:val="24"/>
    </w:rPr>
  </w:style>
  <w:style w:type="character" w:customStyle="1" w:styleId="104">
    <w:name w:val="表头 Char Char"/>
    <w:link w:val="105"/>
    <w:qFormat/>
    <w:uiPriority w:val="0"/>
    <w:rPr>
      <w:b/>
    </w:rPr>
  </w:style>
  <w:style w:type="paragraph" w:customStyle="1" w:styleId="105">
    <w:name w:val="表头"/>
    <w:basedOn w:val="1"/>
    <w:link w:val="104"/>
    <w:qFormat/>
    <w:uiPriority w:val="0"/>
    <w:pPr>
      <w:spacing w:line="360" w:lineRule="auto"/>
      <w:jc w:val="center"/>
    </w:pPr>
    <w:rPr>
      <w:rFonts w:asciiTheme="minorHAnsi" w:hAnsiTheme="minorHAnsi" w:eastAsiaTheme="minorEastAsia" w:cstheme="minorBidi"/>
      <w:b/>
      <w:szCs w:val="22"/>
    </w:rPr>
  </w:style>
  <w:style w:type="character" w:customStyle="1" w:styleId="106">
    <w:name w:val="Char Char7"/>
    <w:qFormat/>
    <w:uiPriority w:val="0"/>
    <w:rPr>
      <w:rFonts w:ascii="Arial" w:hAnsi="Arial" w:eastAsia="宋体"/>
      <w:b/>
      <w:bCs/>
      <w:spacing w:val="5"/>
      <w:kern w:val="20"/>
      <w:sz w:val="28"/>
      <w:szCs w:val="28"/>
      <w:lang w:val="en-US" w:eastAsia="zh-CN" w:bidi="ar-SA"/>
    </w:rPr>
  </w:style>
  <w:style w:type="character" w:customStyle="1" w:styleId="107">
    <w:name w:val="Char Char5"/>
    <w:qFormat/>
    <w:uiPriority w:val="0"/>
    <w:rPr>
      <w:rFonts w:ascii="Calibri" w:hAnsi="Calibri" w:eastAsia="宋体"/>
      <w:sz w:val="18"/>
      <w:szCs w:val="18"/>
      <w:lang w:bidi="ar-SA"/>
    </w:rPr>
  </w:style>
  <w:style w:type="character" w:customStyle="1" w:styleId="108">
    <w:name w:val="Char Char24"/>
    <w:qFormat/>
    <w:uiPriority w:val="0"/>
    <w:rPr>
      <w:rFonts w:ascii="Arial" w:hAnsi="Arial" w:eastAsia="黑体"/>
      <w:b/>
      <w:bCs/>
      <w:kern w:val="2"/>
      <w:sz w:val="32"/>
      <w:szCs w:val="32"/>
      <w:lang w:val="en-US" w:eastAsia="zh-CN" w:bidi="ar-SA"/>
    </w:rPr>
  </w:style>
  <w:style w:type="character" w:customStyle="1" w:styleId="109">
    <w:name w:val="正文文本 Char Char"/>
    <w:qFormat/>
    <w:uiPriority w:val="0"/>
    <w:rPr>
      <w:rFonts w:ascii="Times New Roman" w:hAnsi="Times New Roman" w:eastAsia="宋体" w:cs="Times New Roman"/>
      <w:szCs w:val="24"/>
    </w:rPr>
  </w:style>
  <w:style w:type="character" w:customStyle="1" w:styleId="110">
    <w:name w:val="Char Char2"/>
    <w:qFormat/>
    <w:uiPriority w:val="0"/>
    <w:rPr>
      <w:rFonts w:ascii="Calibri" w:hAnsi="Calibri" w:eastAsia="宋体"/>
      <w:lang w:val="en-US" w:eastAsia="zh-CN" w:bidi="ar-SA"/>
    </w:rPr>
  </w:style>
  <w:style w:type="character" w:customStyle="1" w:styleId="111">
    <w:name w:val="正文文本缩进 2 Char Char"/>
    <w:qFormat/>
    <w:uiPriority w:val="0"/>
    <w:rPr>
      <w:rFonts w:ascii="Times New Roman" w:hAnsi="Times New Roman" w:eastAsia="宋体" w:cs="Times New Roman"/>
      <w:szCs w:val="24"/>
    </w:rPr>
  </w:style>
  <w:style w:type="character" w:customStyle="1" w:styleId="112">
    <w:name w:val="Char Char22"/>
    <w:qFormat/>
    <w:uiPriority w:val="0"/>
    <w:rPr>
      <w:rFonts w:ascii="Arial" w:hAnsi="Arial"/>
      <w:b/>
      <w:bCs/>
      <w:spacing w:val="5"/>
      <w:kern w:val="20"/>
      <w:sz w:val="28"/>
      <w:szCs w:val="28"/>
    </w:rPr>
  </w:style>
  <w:style w:type="character" w:customStyle="1" w:styleId="113">
    <w:name w:val="Char Char3"/>
    <w:qFormat/>
    <w:uiPriority w:val="0"/>
    <w:rPr>
      <w:rFonts w:ascii="Arial" w:hAnsi="Arial" w:eastAsia="宋体"/>
      <w:b/>
      <w:bCs/>
      <w:spacing w:val="5"/>
      <w:kern w:val="20"/>
      <w:sz w:val="28"/>
      <w:szCs w:val="28"/>
      <w:lang w:val="en-US" w:eastAsia="zh-CN" w:bidi="ar-SA"/>
    </w:rPr>
  </w:style>
  <w:style w:type="character" w:customStyle="1" w:styleId="114">
    <w:name w:val="Char Char11"/>
    <w:qFormat/>
    <w:uiPriority w:val="0"/>
    <w:rPr>
      <w:rFonts w:ascii="Calibri" w:hAnsi="Calibri" w:eastAsia="宋体"/>
      <w:lang w:val="en-US" w:eastAsia="zh-CN" w:bidi="ar-SA"/>
    </w:rPr>
  </w:style>
  <w:style w:type="character" w:customStyle="1" w:styleId="115">
    <w:name w:val="Char Char6"/>
    <w:qFormat/>
    <w:uiPriority w:val="0"/>
    <w:rPr>
      <w:rFonts w:ascii="Calibri" w:hAnsi="Calibri" w:eastAsia="宋体"/>
      <w:lang w:val="en-US" w:eastAsia="zh-CN" w:bidi="ar-SA"/>
    </w:rPr>
  </w:style>
  <w:style w:type="character" w:customStyle="1" w:styleId="116">
    <w:name w:val="Char Char221"/>
    <w:qFormat/>
    <w:uiPriority w:val="0"/>
    <w:rPr>
      <w:rFonts w:ascii="Arial" w:hAnsi="Arial" w:eastAsia="宋体"/>
      <w:b/>
      <w:bCs/>
      <w:spacing w:val="5"/>
      <w:kern w:val="20"/>
      <w:sz w:val="28"/>
      <w:szCs w:val="28"/>
      <w:lang w:val="en-US" w:eastAsia="zh-CN" w:bidi="ar-SA"/>
    </w:rPr>
  </w:style>
  <w:style w:type="character" w:customStyle="1" w:styleId="117">
    <w:name w:val="正文文本缩进 2 Char"/>
    <w:basedOn w:val="42"/>
    <w:link w:val="27"/>
    <w:qFormat/>
    <w:uiPriority w:val="0"/>
    <w:rPr>
      <w:rFonts w:ascii="Times New Roman" w:hAnsi="Times New Roman" w:eastAsia="宋体" w:cs="Times New Roman"/>
      <w:kern w:val="0"/>
      <w:sz w:val="20"/>
      <w:szCs w:val="24"/>
    </w:rPr>
  </w:style>
  <w:style w:type="paragraph" w:customStyle="1" w:styleId="118">
    <w:name w:val="正"/>
    <w:basedOn w:val="88"/>
    <w:qFormat/>
    <w:uiPriority w:val="0"/>
    <w:pPr>
      <w:ind w:left="0" w:leftChars="0"/>
      <w:jc w:val="center"/>
    </w:pPr>
    <w:rPr>
      <w:kern w:val="0"/>
      <w:sz w:val="21"/>
    </w:rPr>
  </w:style>
  <w:style w:type="paragraph" w:customStyle="1" w:styleId="119">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20">
    <w:name w:val="正文文本 2 Char"/>
    <w:basedOn w:val="42"/>
    <w:link w:val="40"/>
    <w:qFormat/>
    <w:uiPriority w:val="0"/>
    <w:rPr>
      <w:rFonts w:ascii="Calibri" w:hAnsi="Calibri" w:eastAsia="宋体" w:cs="Times New Roman"/>
      <w:kern w:val="0"/>
      <w:sz w:val="20"/>
      <w:szCs w:val="20"/>
    </w:rPr>
  </w:style>
  <w:style w:type="paragraph" w:customStyle="1" w:styleId="121">
    <w:name w:val="样式4"/>
    <w:basedOn w:val="6"/>
    <w:link w:val="136"/>
    <w:qFormat/>
    <w:uiPriority w:val="0"/>
    <w:pPr>
      <w:spacing w:line="360" w:lineRule="auto"/>
    </w:pPr>
    <w:rPr>
      <w:rFonts w:ascii="Times New Roman" w:hAnsi="Times New Roman" w:eastAsia="黑体"/>
      <w:b w:val="0"/>
      <w:sz w:val="24"/>
    </w:rPr>
  </w:style>
  <w:style w:type="paragraph" w:customStyle="1" w:styleId="122">
    <w:name w:val="样式2"/>
    <w:basedOn w:val="5"/>
    <w:qFormat/>
    <w:uiPriority w:val="0"/>
    <w:pPr>
      <w:adjustRightInd w:val="0"/>
      <w:spacing w:line="400" w:lineRule="exact"/>
      <w:textAlignment w:val="baseline"/>
    </w:pPr>
  </w:style>
  <w:style w:type="paragraph" w:customStyle="1" w:styleId="123">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24">
    <w:name w:val="无间隔 Char"/>
    <w:link w:val="74"/>
    <w:qFormat/>
    <w:uiPriority w:val="1"/>
    <w:rPr>
      <w:rFonts w:ascii="Calibri" w:hAnsi="Calibri" w:eastAsia="宋体" w:cs="Times New Roman"/>
      <w:kern w:val="0"/>
      <w:sz w:val="20"/>
      <w:szCs w:val="21"/>
    </w:rPr>
  </w:style>
  <w:style w:type="character" w:customStyle="1" w:styleId="125">
    <w:name w:val="表头 Char"/>
    <w:qFormat/>
    <w:uiPriority w:val="0"/>
    <w:rPr>
      <w:b/>
      <w:kern w:val="2"/>
      <w:sz w:val="21"/>
      <w:szCs w:val="22"/>
    </w:rPr>
  </w:style>
  <w:style w:type="character" w:customStyle="1" w:styleId="126">
    <w:name w:val="批注文字 Char"/>
    <w:basedOn w:val="42"/>
    <w:link w:val="12"/>
    <w:qFormat/>
    <w:uiPriority w:val="0"/>
    <w:rPr>
      <w:rFonts w:ascii="Calibri" w:hAnsi="Calibri" w:eastAsia="宋体" w:cs="Times New Roman"/>
      <w:kern w:val="0"/>
      <w:sz w:val="20"/>
      <w:szCs w:val="20"/>
    </w:rPr>
  </w:style>
  <w:style w:type="character" w:customStyle="1" w:styleId="127">
    <w:name w:val="批注主题 Char"/>
    <w:basedOn w:val="126"/>
    <w:link w:val="11"/>
    <w:semiHidden/>
    <w:qFormat/>
    <w:uiPriority w:val="0"/>
    <w:rPr>
      <w:rFonts w:ascii="Calibri" w:hAnsi="Calibri" w:eastAsia="宋体" w:cs="Times New Roman"/>
      <w:b/>
      <w:bCs/>
      <w:kern w:val="0"/>
      <w:sz w:val="20"/>
      <w:szCs w:val="20"/>
    </w:rPr>
  </w:style>
  <w:style w:type="paragraph" w:customStyle="1" w:styleId="128">
    <w:name w:val="Char Char81"/>
    <w:basedOn w:val="1"/>
    <w:qFormat/>
    <w:uiPriority w:val="0"/>
    <w:rPr>
      <w:rFonts w:ascii="Tahoma" w:hAnsi="Tahoma"/>
      <w:sz w:val="24"/>
      <w:szCs w:val="20"/>
    </w:rPr>
  </w:style>
  <w:style w:type="paragraph" w:customStyle="1" w:styleId="129">
    <w:name w:val="Char"/>
    <w:basedOn w:val="1"/>
    <w:qFormat/>
    <w:uiPriority w:val="0"/>
    <w:rPr>
      <w:rFonts w:ascii="Tahoma" w:hAnsi="Tahoma"/>
      <w:sz w:val="24"/>
      <w:szCs w:val="20"/>
    </w:rPr>
  </w:style>
  <w:style w:type="character" w:customStyle="1" w:styleId="130">
    <w:name w:val="apple-converted-space"/>
    <w:qFormat/>
    <w:uiPriority w:val="0"/>
  </w:style>
  <w:style w:type="paragraph" w:customStyle="1" w:styleId="131">
    <w:name w:val="标题 3 + 五号"/>
    <w:basedOn w:val="3"/>
    <w:qFormat/>
    <w:uiPriority w:val="0"/>
    <w:pPr>
      <w:numPr>
        <w:ilvl w:val="0"/>
        <w:numId w:val="0"/>
      </w:numPr>
      <w:tabs>
        <w:tab w:val="left" w:pos="840"/>
      </w:tabs>
      <w:ind w:left="840" w:hanging="420"/>
    </w:pPr>
    <w:rPr>
      <w:rFonts w:ascii="Times New Roman"/>
    </w:rPr>
  </w:style>
  <w:style w:type="paragraph" w:customStyle="1" w:styleId="132">
    <w:name w:val="标题 4 + 五号"/>
    <w:basedOn w:val="4"/>
    <w:qFormat/>
    <w:uiPriority w:val="0"/>
    <w:pPr>
      <w:numPr>
        <w:ilvl w:val="0"/>
        <w:numId w:val="0"/>
      </w:numPr>
      <w:tabs>
        <w:tab w:val="left" w:pos="1260"/>
      </w:tabs>
      <w:ind w:left="1260" w:hanging="420"/>
    </w:pPr>
    <w:rPr>
      <w:rFonts w:ascii="Times New Roman"/>
    </w:rPr>
  </w:style>
  <w:style w:type="character" w:customStyle="1" w:styleId="133">
    <w:name w:val="Char Char12"/>
    <w:qFormat/>
    <w:uiPriority w:val="0"/>
    <w:rPr>
      <w:rFonts w:ascii="Calibri" w:hAnsi="Calibri" w:eastAsia="宋体"/>
    </w:rPr>
  </w:style>
  <w:style w:type="paragraph" w:customStyle="1" w:styleId="134">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35">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36">
    <w:name w:val="样式4 Char"/>
    <w:link w:val="121"/>
    <w:qFormat/>
    <w:uiPriority w:val="0"/>
    <w:rPr>
      <w:rFonts w:ascii="Times New Roman" w:hAnsi="Times New Roman" w:eastAsia="黑体" w:cs="Times New Roman"/>
      <w:bCs/>
      <w:kern w:val="0"/>
      <w:sz w:val="24"/>
      <w:szCs w:val="28"/>
    </w:rPr>
  </w:style>
  <w:style w:type="character" w:customStyle="1" w:styleId="137">
    <w:name w:val="标题 4 Char1"/>
    <w:semiHidden/>
    <w:qFormat/>
    <w:uiPriority w:val="9"/>
    <w:rPr>
      <w:rFonts w:ascii="Cambria" w:hAnsi="Cambria" w:eastAsia="宋体" w:cs="Times New Roman"/>
      <w:b/>
      <w:bCs/>
      <w:kern w:val="2"/>
      <w:sz w:val="28"/>
      <w:szCs w:val="28"/>
    </w:rPr>
  </w:style>
  <w:style w:type="paragraph" w:customStyle="1" w:styleId="138">
    <w:name w:val="2"/>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39">
    <w:name w:val="Char Char9"/>
    <w:qFormat/>
    <w:locked/>
    <w:uiPriority w:val="0"/>
    <w:rPr>
      <w:rFonts w:ascii="Calibri" w:hAnsi="Calibri" w:eastAsia="宋体"/>
      <w:lang w:val="en-US" w:eastAsia="zh-CN" w:bidi="ar-SA"/>
    </w:rPr>
  </w:style>
  <w:style w:type="character" w:customStyle="1" w:styleId="140">
    <w:name w:val="H4 Char"/>
    <w:qFormat/>
    <w:uiPriority w:val="0"/>
    <w:rPr>
      <w:rFonts w:ascii="Arial" w:hAnsi="Arial"/>
      <w:b/>
      <w:bCs/>
      <w:spacing w:val="5"/>
      <w:kern w:val="20"/>
      <w:sz w:val="28"/>
      <w:szCs w:val="28"/>
    </w:rPr>
  </w:style>
  <w:style w:type="character" w:customStyle="1" w:styleId="141">
    <w:name w:val="正文5 Char"/>
    <w:qFormat/>
    <w:locked/>
    <w:uiPriority w:val="0"/>
    <w:rPr>
      <w:rFonts w:ascii="宋体" w:hAnsi="Courier New" w:eastAsia="宋体"/>
      <w:bCs/>
      <w:color w:val="000000"/>
      <w:kern w:val="2"/>
      <w:sz w:val="21"/>
      <w:szCs w:val="24"/>
      <w:lang w:val="en-US" w:eastAsia="zh-CN" w:bidi="ar-SA"/>
    </w:rPr>
  </w:style>
  <w:style w:type="paragraph" w:customStyle="1" w:styleId="142">
    <w:name w:val="标题4"/>
    <w:basedOn w:val="1"/>
    <w:qFormat/>
    <w:uiPriority w:val="0"/>
    <w:pPr>
      <w:ind w:firstLine="420" w:firstLineChars="200"/>
    </w:pPr>
    <w:rPr>
      <w:rFonts w:ascii="楷体_GB2312" w:hAnsi="宋体" w:eastAsia="楷体_GB2312"/>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4114</Words>
  <Characters>23451</Characters>
  <Lines>195</Lines>
  <Paragraphs>55</Paragraphs>
  <TotalTime>0</TotalTime>
  <ScaleCrop>false</ScaleCrop>
  <LinksUpToDate>false</LinksUpToDate>
  <CharactersWithSpaces>27510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2017-03-15T08:46:00Z</dcterms:created>
  <dc:creator>syslx102</dc:creator>
  <cp:lastModifiedBy>Administrator</cp:lastModifiedBy>
  <dcterms:modified xsi:type="dcterms:W3CDTF">2020-12-22T01:28:03Z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