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632174772"/>
        <w:docPartObj>
          <w:docPartGallery w:val="autotext"/>
        </w:docPartObj>
      </w:sdtPr>
      <w:sdtEndPr>
        <w:rPr>
          <w:bCs/>
        </w:rPr>
      </w:sdtEndPr>
      <w:sdtContent>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Pr>
            <w:jc w:val="center"/>
          </w:pPr>
          <w:r>
            <w:drawing>
              <wp:inline distT="0" distB="0" distL="0" distR="0">
                <wp:extent cx="2992120" cy="373380"/>
                <wp:effectExtent l="19050" t="0" r="0" b="0"/>
                <wp:docPr id="21"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gonsi"/>
                        <pic:cNvPicPr>
                          <a:picLocks noChangeAspect="1" noChangeArrowheads="1"/>
                        </pic:cNvPicPr>
                      </pic:nvPicPr>
                      <pic:blipFill>
                        <a:blip r:embed="rId6"/>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p>
        <w:p>
          <w:pPr>
            <w:jc w:val="center"/>
            <w:rPr>
              <w:b/>
            </w:rPr>
          </w:pPr>
          <w:r>
            <w:rPr>
              <w:b/>
            </w:rPr>
            <w:t>20</w:t>
          </w:r>
          <w:r>
            <w:rPr>
              <w:rFonts w:hint="eastAsia"/>
              <w:b/>
              <w:lang w:val="en-US" w:eastAsia="zh-CN"/>
            </w:rPr>
            <w:t>20</w:t>
          </w:r>
          <w:r>
            <w:rPr>
              <w:rFonts w:hint="eastAsia"/>
              <w:b/>
            </w:rPr>
            <w:t>年</w:t>
          </w:r>
          <w:r>
            <w:rPr>
              <w:b/>
            </w:rPr>
            <w:t>1</w:t>
          </w:r>
          <w:r>
            <w:rPr>
              <w:rFonts w:hint="eastAsia"/>
              <w:b/>
              <w:lang w:val="en-US" w:eastAsia="zh-CN"/>
            </w:rPr>
            <w:t>2</w:t>
          </w:r>
          <w:r>
            <w:rPr>
              <w:rFonts w:hint="eastAsia"/>
              <w:b/>
            </w:rPr>
            <w:t>月</w:t>
          </w:r>
          <w:r>
            <w:rPr>
              <w:rFonts w:hint="eastAsia"/>
              <w:b/>
              <w:lang w:val="en-US" w:eastAsia="zh-CN"/>
            </w:rPr>
            <w:t>22</w:t>
          </w:r>
          <w:r>
            <w:rPr>
              <w:rFonts w:hint="eastAsia"/>
              <w:b/>
            </w:rPr>
            <w:t>日</w:t>
          </w:r>
        </w:p>
        <w:p>
          <w:bookmarkStart w:id="26" w:name="_GoBack"/>
          <w:bookmarkEnd w:id="26"/>
        </w:p>
      </w:sdtContent>
    </w:sdt>
    <w:p>
      <w:pPr>
        <w:pStyle w:val="2"/>
        <w:numPr>
          <w:ilvl w:val="0"/>
          <w:numId w:val="4"/>
        </w:numPr>
        <w:ind w:left="643" w:hanging="643"/>
        <w:rPr>
          <w:color w:val="auto"/>
        </w:rPr>
      </w:pPr>
      <w:r>
        <w:rPr>
          <w:rFonts w:hint="eastAsia"/>
          <w:color w:val="auto"/>
        </w:rPr>
        <w:t>担保品</w:t>
      </w:r>
    </w:p>
    <w:p>
      <w:pPr>
        <w:pStyle w:val="3"/>
        <w:numPr>
          <w:ilvl w:val="1"/>
          <w:numId w:val="4"/>
        </w:numPr>
        <w:spacing w:after="0" w:line="240" w:lineRule="auto"/>
        <w:ind w:left="422" w:hanging="422"/>
      </w:pPr>
      <w:r>
        <w:rPr>
          <w:rFonts w:hint="eastAsia"/>
        </w:rPr>
        <w:t>担保品维护</w:t>
      </w:r>
    </w:p>
    <w:p>
      <w:pPr>
        <w:pStyle w:val="4"/>
        <w:numPr>
          <w:ilvl w:val="2"/>
          <w:numId w:val="4"/>
        </w:numPr>
        <w:ind w:left="422" w:hanging="422"/>
      </w:pPr>
      <w:bookmarkStart w:id="0" w:name="_Toc364694009"/>
      <w:r>
        <w:rPr>
          <w:rFonts w:hint="eastAsia"/>
        </w:rPr>
        <w:t>基本信息</w:t>
      </w:r>
      <w:bookmarkEnd w:id="0"/>
    </w:p>
    <w:tbl>
      <w:tblPr>
        <w:tblStyle w:val="49"/>
        <w:tblW w:w="8338"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48"/>
        <w:gridCol w:w="659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48"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59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担保品维护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48"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59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690101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48"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59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本交易用于担保品的查询、增加、修改、删除。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48"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59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48"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59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担保品业务管理维护角色柜员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48"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59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48"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59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交易类别为修改和删除时需02级柜员授权。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748"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59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无</w:t>
            </w:r>
          </w:p>
        </w:tc>
      </w:tr>
    </w:tbl>
    <w:p>
      <w:pPr>
        <w:pStyle w:val="4"/>
        <w:numPr>
          <w:ilvl w:val="2"/>
          <w:numId w:val="4"/>
        </w:numPr>
        <w:ind w:left="422" w:hanging="422"/>
      </w:pPr>
      <w:bookmarkStart w:id="1" w:name="_Toc364694010"/>
      <w:r>
        <w:rPr>
          <w:rFonts w:hint="eastAsia"/>
        </w:rPr>
        <w:t>操作界面及栏位说明</w:t>
      </w:r>
      <w:bookmarkEnd w:id="1"/>
    </w:p>
    <w:p>
      <w:pPr>
        <w:rPr>
          <w:rFonts w:ascii="宋体" w:hAnsi="宋体"/>
          <w:b/>
        </w:rPr>
      </w:pPr>
      <w:r>
        <w:rPr>
          <w:rFonts w:hint="eastAsia" w:ascii="宋体" w:hAnsi="宋体"/>
          <w:b/>
        </w:rPr>
        <w:t>操作界面1：</w:t>
      </w:r>
    </w:p>
    <w:p>
      <w:pPr>
        <w:rPr>
          <w:rFonts w:ascii="宋体" w:hAnsi="宋体"/>
          <w:b/>
        </w:rPr>
      </w:pPr>
      <w:r>
        <w:rPr>
          <w:rFonts w:ascii="宋体" w:hAnsi="宋体"/>
          <w:b/>
        </w:rPr>
        <w:drawing>
          <wp:inline distT="0" distB="0" distL="0" distR="0">
            <wp:extent cx="6124575" cy="4514850"/>
            <wp:effectExtent l="19050" t="0" r="9525" b="0"/>
            <wp:docPr id="224"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60"/>
                    <pic:cNvPicPr>
                      <a:picLocks noChangeAspect="1" noChangeArrowheads="1"/>
                    </pic:cNvPicPr>
                  </pic:nvPicPr>
                  <pic:blipFill>
                    <a:blip r:embed="rId7"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
              </w:numPr>
              <w:tabs>
                <w:tab w:val="left" w:pos="360"/>
              </w:tabs>
              <w:ind w:left="0" w:firstLine="0"/>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列表选择：1-新增2-修改4-删除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5"/>
              </w:numPr>
              <w:tabs>
                <w:tab w:val="left" w:pos="360"/>
              </w:tabs>
              <w:ind w:left="0" w:firstLine="0"/>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交易类别选择新增时，可以输入担保品组号；交易类别选择修改时，可以输入担保品组号同时也可以输入担保品编号（担保品组未入库可以修改组信息，输入担保品编号可以修改担保品）；交易类别选择删除时，输入担保品组号删除担保品组及担保品，输入担保品编号只删除担保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12" w:space="0"/>
              <w:right w:val="single" w:color="auto" w:sz="6" w:space="0"/>
            </w:tcBorders>
            <w:vAlign w:val="center"/>
          </w:tcPr>
          <w:p>
            <w:pPr>
              <w:numPr>
                <w:ilvl w:val="0"/>
                <w:numId w:val="5"/>
              </w:numPr>
              <w:tabs>
                <w:tab w:val="left" w:pos="360"/>
              </w:tabs>
              <w:ind w:left="0" w:firstLine="0"/>
              <w:jc w:val="center"/>
              <w:rPr>
                <w:rFonts w:ascii="宋体" w:hAnsi="宋体"/>
                <w:b/>
              </w:rPr>
            </w:pPr>
          </w:p>
        </w:tc>
        <w:tc>
          <w:tcPr>
            <w:tcW w:w="1583"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担保品编号</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交易类别选择新增时，担保品组号不能输入。</w:t>
            </w:r>
          </w:p>
        </w:tc>
      </w:tr>
    </w:tbl>
    <w:p>
      <w:pPr>
        <w:rPr>
          <w:rFonts w:ascii="宋体" w:hAnsi="宋体"/>
          <w:b/>
        </w:rPr>
      </w:pPr>
      <w:r>
        <w:rPr>
          <w:rFonts w:hint="eastAsia" w:ascii="宋体" w:hAnsi="宋体"/>
          <w:b/>
        </w:rPr>
        <w:t>操作界面2：（交易类别为新增）</w:t>
      </w:r>
    </w:p>
    <w:p>
      <w:pPr>
        <w:rPr>
          <w:rFonts w:ascii="宋体" w:hAnsi="宋体"/>
          <w:b/>
        </w:rPr>
      </w:pPr>
      <w:r>
        <w:rPr>
          <w:rFonts w:ascii="宋体" w:hAnsi="宋体"/>
          <w:b/>
        </w:rPr>
        <w:drawing>
          <wp:inline distT="0" distB="0" distL="0" distR="0">
            <wp:extent cx="6124575" cy="4514850"/>
            <wp:effectExtent l="19050" t="0" r="9525" b="0"/>
            <wp:docPr id="225"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61"/>
                    <pic:cNvPicPr>
                      <a:picLocks noChangeAspect="1" noChangeArrowheads="1"/>
                    </pic:cNvPicPr>
                  </pic:nvPicPr>
                  <pic:blipFill>
                    <a:blip r:embed="rId8" cstate="print"/>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栏位说明2：</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6"/>
              </w:numPr>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6"/>
              </w:numPr>
              <w:tabs>
                <w:tab w:val="left" w:pos="360"/>
              </w:tabs>
              <w:ind w:left="0" w:firstLine="0"/>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6"/>
              </w:numPr>
              <w:tabs>
                <w:tab w:val="left" w:pos="360"/>
              </w:tabs>
              <w:ind w:left="0" w:firstLine="0"/>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担保合同号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6"/>
              </w:numPr>
              <w:tabs>
                <w:tab w:val="left" w:pos="360"/>
              </w:tabs>
              <w:ind w:left="0" w:firstLine="0"/>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合同到期日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需大于等于系统日期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6"/>
              </w:numPr>
              <w:tabs>
                <w:tab w:val="left" w:pos="360"/>
              </w:tabs>
              <w:ind w:left="0" w:firstLine="0"/>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最高额合同</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列表选择：0-不是1-是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12" w:space="0"/>
              <w:right w:val="single" w:color="auto" w:sz="6" w:space="0"/>
            </w:tcBorders>
            <w:vAlign w:val="center"/>
          </w:tcPr>
          <w:p>
            <w:pPr>
              <w:numPr>
                <w:ilvl w:val="0"/>
                <w:numId w:val="6"/>
              </w:numPr>
              <w:tabs>
                <w:tab w:val="left" w:pos="360"/>
              </w:tabs>
              <w:ind w:left="0" w:firstLine="0"/>
              <w:jc w:val="center"/>
              <w:rPr>
                <w:rFonts w:ascii="宋体" w:hAnsi="宋体"/>
                <w:b/>
              </w:rPr>
            </w:pPr>
          </w:p>
        </w:tc>
        <w:tc>
          <w:tcPr>
            <w:tcW w:w="1583"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担保品性质</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列表选择：1-抵押2-质押3-保证</w:t>
            </w:r>
          </w:p>
        </w:tc>
      </w:tr>
    </w:tbl>
    <w:p>
      <w:pPr>
        <w:rPr>
          <w:rFonts w:ascii="宋体" w:hAnsi="宋体"/>
          <w:b/>
        </w:rPr>
      </w:pPr>
      <w:r>
        <w:rPr>
          <w:rFonts w:hint="eastAsia" w:ascii="宋体" w:hAnsi="宋体"/>
          <w:b/>
        </w:rPr>
        <w:t>操作界面3：（交易类别为新增，担保品性质为抵质押）</w:t>
      </w:r>
    </w:p>
    <w:p>
      <w:pPr>
        <w:rPr>
          <w:rFonts w:ascii="宋体" w:hAnsi="宋体"/>
          <w:b/>
        </w:rPr>
      </w:pPr>
      <w:r>
        <w:rPr>
          <w:rFonts w:ascii="宋体" w:hAnsi="宋体"/>
          <w:b/>
        </w:rPr>
        <w:drawing>
          <wp:inline distT="0" distB="0" distL="0" distR="0">
            <wp:extent cx="6124575" cy="4514850"/>
            <wp:effectExtent l="19050" t="0" r="9525" b="0"/>
            <wp:docPr id="226"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62"/>
                    <pic:cNvPicPr>
                      <a:picLocks noChangeAspect="1" noChangeArrowheads="1"/>
                    </pic:cNvPicPr>
                  </pic:nvPicPr>
                  <pic:blipFill>
                    <a:blip r:embed="rId9"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栏位说明3：（交易类别为新增，担保品性质为抵质押）</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担保合同号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合同到期日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需大于等于系统日期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最高额合同</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0-不是1-是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担保品性质</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1-抵押2-质押3-保证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担保品种类</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cs="Courier New"/>
              </w:rPr>
            </w:pPr>
            <w:r>
              <w:rPr>
                <w:rFonts w:hint="eastAsia" w:ascii="宋体" w:hAnsi="宋体" w:cs="Courier New"/>
              </w:rPr>
              <w:t>101- 房屋</w:t>
            </w:r>
          </w:p>
          <w:p>
            <w:pPr>
              <w:rPr>
                <w:rFonts w:ascii="宋体" w:hAnsi="宋体" w:cs="Courier New"/>
              </w:rPr>
            </w:pPr>
            <w:r>
              <w:rPr>
                <w:rFonts w:hint="eastAsia" w:ascii="宋体" w:hAnsi="宋体" w:cs="Courier New"/>
              </w:rPr>
              <w:t xml:space="preserve">102- 其他地上定着物 </w:t>
            </w:r>
          </w:p>
          <w:p>
            <w:pPr>
              <w:rPr>
                <w:rFonts w:ascii="宋体" w:hAnsi="宋体" w:cs="Courier New"/>
              </w:rPr>
            </w:pPr>
            <w:r>
              <w:rPr>
                <w:rFonts w:hint="eastAsia" w:ascii="宋体" w:hAnsi="宋体" w:cs="Courier New"/>
              </w:rPr>
              <w:t xml:space="preserve">103- 国有土地使用权   </w:t>
            </w:r>
          </w:p>
          <w:p>
            <w:pPr>
              <w:rPr>
                <w:rFonts w:ascii="宋体" w:hAnsi="宋体" w:cs="Courier New"/>
              </w:rPr>
            </w:pPr>
            <w:r>
              <w:rPr>
                <w:rFonts w:hint="eastAsia" w:ascii="宋体" w:hAnsi="宋体" w:cs="Courier New"/>
              </w:rPr>
              <w:t>104- 集体土地使用权</w:t>
            </w:r>
          </w:p>
          <w:p>
            <w:pPr>
              <w:rPr>
                <w:rFonts w:ascii="宋体" w:hAnsi="宋体" w:cs="Courier New"/>
              </w:rPr>
            </w:pPr>
            <w:r>
              <w:rPr>
                <w:rFonts w:hint="eastAsia" w:ascii="宋体" w:hAnsi="宋体" w:cs="Courier New"/>
              </w:rPr>
              <w:t>105- 机器设备</w:t>
            </w:r>
          </w:p>
          <w:p>
            <w:pPr>
              <w:rPr>
                <w:rFonts w:ascii="宋体" w:hAnsi="宋体" w:cs="Courier New"/>
              </w:rPr>
            </w:pPr>
            <w:r>
              <w:rPr>
                <w:rFonts w:hint="eastAsia" w:ascii="宋体" w:hAnsi="宋体" w:cs="Courier New"/>
              </w:rPr>
              <w:t xml:space="preserve">106- 交通运输工具 </w:t>
            </w:r>
          </w:p>
          <w:p>
            <w:pPr>
              <w:rPr>
                <w:rFonts w:ascii="宋体" w:hAnsi="宋体" w:cs="Courier New"/>
              </w:rPr>
            </w:pPr>
            <w:r>
              <w:rPr>
                <w:rFonts w:hint="eastAsia" w:ascii="宋体" w:hAnsi="宋体" w:cs="Courier New"/>
              </w:rPr>
              <w:t>108- 林木</w:t>
            </w:r>
          </w:p>
          <w:p>
            <w:pPr>
              <w:rPr>
                <w:rFonts w:ascii="宋体" w:hAnsi="宋体" w:cs="Courier New"/>
              </w:rPr>
            </w:pPr>
            <w:r>
              <w:rPr>
                <w:rFonts w:hint="eastAsia" w:ascii="宋体" w:hAnsi="宋体" w:cs="Courier New"/>
              </w:rPr>
              <w:t>109-其他财产</w:t>
            </w:r>
          </w:p>
          <w:p>
            <w:pPr>
              <w:rPr>
                <w:rFonts w:ascii="宋体" w:hAnsi="宋体" w:cs="Courier New"/>
              </w:rPr>
            </w:pPr>
            <w:r>
              <w:rPr>
                <w:rFonts w:hint="eastAsia" w:ascii="宋体" w:hAnsi="宋体" w:cs="Courier New"/>
              </w:rPr>
              <w:t xml:space="preserve">201- 存单 </w:t>
            </w:r>
          </w:p>
          <w:p>
            <w:pPr>
              <w:rPr>
                <w:rFonts w:ascii="宋体" w:hAnsi="宋体" w:cs="Courier New"/>
              </w:rPr>
            </w:pPr>
            <w:r>
              <w:rPr>
                <w:rFonts w:hint="eastAsia" w:ascii="宋体" w:hAnsi="宋体" w:cs="Courier New"/>
              </w:rPr>
              <w:t>202- 汇票</w:t>
            </w:r>
          </w:p>
          <w:p>
            <w:pPr>
              <w:rPr>
                <w:rFonts w:ascii="宋体" w:hAnsi="宋体" w:cs="Courier New"/>
              </w:rPr>
            </w:pPr>
            <w:r>
              <w:rPr>
                <w:rFonts w:hint="eastAsia" w:ascii="宋体" w:hAnsi="宋体" w:cs="Courier New"/>
              </w:rPr>
              <w:t xml:space="preserve">203- 本票 </w:t>
            </w:r>
          </w:p>
          <w:p>
            <w:pPr>
              <w:rPr>
                <w:rFonts w:ascii="宋体" w:hAnsi="宋体" w:cs="Courier New"/>
              </w:rPr>
            </w:pPr>
            <w:r>
              <w:rPr>
                <w:rFonts w:hint="eastAsia" w:ascii="宋体" w:hAnsi="宋体" w:cs="Courier New"/>
              </w:rPr>
              <w:t xml:space="preserve">204- 支票  </w:t>
            </w:r>
          </w:p>
          <w:p>
            <w:pPr>
              <w:rPr>
                <w:rFonts w:ascii="宋体" w:hAnsi="宋体" w:cs="Courier New"/>
              </w:rPr>
            </w:pPr>
            <w:r>
              <w:rPr>
                <w:rFonts w:hint="eastAsia" w:ascii="宋体" w:hAnsi="宋体" w:cs="Courier New"/>
              </w:rPr>
              <w:t xml:space="preserve">205- 债券              </w:t>
            </w:r>
          </w:p>
          <w:p>
            <w:pPr>
              <w:rPr>
                <w:rFonts w:ascii="宋体" w:hAnsi="宋体" w:cs="Courier New"/>
              </w:rPr>
            </w:pPr>
            <w:r>
              <w:rPr>
                <w:rFonts w:hint="eastAsia" w:ascii="宋体" w:hAnsi="宋体" w:cs="Courier New"/>
              </w:rPr>
              <w:t xml:space="preserve">206- 股票 </w:t>
            </w:r>
          </w:p>
          <w:p>
            <w:pPr>
              <w:rPr>
                <w:rFonts w:ascii="宋体" w:hAnsi="宋体" w:cs="Courier New"/>
              </w:rPr>
            </w:pPr>
            <w:r>
              <w:rPr>
                <w:rFonts w:hint="eastAsia" w:ascii="宋体" w:hAnsi="宋体" w:cs="Courier New"/>
              </w:rPr>
              <w:t>207- 股份</w:t>
            </w:r>
          </w:p>
          <w:p>
            <w:pPr>
              <w:rPr>
                <w:rFonts w:ascii="宋体" w:hAnsi="宋体" w:cs="Courier New"/>
              </w:rPr>
            </w:pPr>
            <w:r>
              <w:rPr>
                <w:rFonts w:hint="eastAsia" w:ascii="宋体" w:hAnsi="宋体" w:cs="Courier New"/>
              </w:rPr>
              <w:t xml:space="preserve">208- 仓单  </w:t>
            </w:r>
          </w:p>
          <w:p>
            <w:pPr>
              <w:rPr>
                <w:rFonts w:ascii="宋体" w:hAnsi="宋体" w:cs="Courier New"/>
              </w:rPr>
            </w:pPr>
            <w:r>
              <w:rPr>
                <w:rFonts w:hint="eastAsia" w:ascii="宋体" w:hAnsi="宋体" w:cs="Courier New"/>
              </w:rPr>
              <w:t>209- 提单</w:t>
            </w:r>
          </w:p>
          <w:p>
            <w:pPr>
              <w:rPr>
                <w:rFonts w:ascii="宋体" w:hAnsi="宋体" w:cs="Courier New"/>
              </w:rPr>
            </w:pPr>
            <w:r>
              <w:rPr>
                <w:rFonts w:hint="eastAsia" w:ascii="宋体" w:hAnsi="宋体" w:cs="Courier New"/>
              </w:rPr>
              <w:t>210- 商标专用权、专利权、著作权中的财产权</w:t>
            </w:r>
          </w:p>
          <w:p>
            <w:pPr>
              <w:rPr>
                <w:rFonts w:ascii="宋体" w:hAnsi="宋体" w:cs="Courier New"/>
              </w:rPr>
            </w:pPr>
            <w:r>
              <w:rPr>
                <w:rFonts w:hint="eastAsia" w:ascii="宋体" w:hAnsi="宋体" w:cs="Courier New"/>
              </w:rPr>
              <w:t>211- 他行存单</w:t>
            </w:r>
          </w:p>
          <w:p>
            <w:pPr>
              <w:rPr>
                <w:rFonts w:ascii="宋体" w:hAnsi="宋体"/>
              </w:rPr>
            </w:pPr>
            <w:r>
              <w:rPr>
                <w:rFonts w:hint="eastAsia" w:ascii="宋体" w:hAnsi="宋体"/>
              </w:rPr>
              <w:t>212- 其他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所有人证件类别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所有人证件号码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所有人客户号码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所有人名称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抵/质押品号码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评估日期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必输项但不能低于当前日期一年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评估价值</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入账价值</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必输项，输入的担保金额不能高于评估价值折算后的金额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担保品截止日期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ind w:firstLine="105" w:firstLineChars="50"/>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必输项，输入的日期要大于等于合同到期日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非必输项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评估机构组织代码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非必输项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12" w:space="0"/>
              <w:right w:val="single" w:color="auto" w:sz="6" w:space="0"/>
            </w:tcBorders>
            <w:vAlign w:val="center"/>
          </w:tcPr>
          <w:p>
            <w:pPr>
              <w:numPr>
                <w:ilvl w:val="0"/>
                <w:numId w:val="7"/>
              </w:numPr>
              <w:jc w:val="center"/>
              <w:rPr>
                <w:rFonts w:ascii="宋体" w:hAnsi="宋体"/>
                <w:b/>
              </w:rPr>
            </w:pPr>
          </w:p>
        </w:tc>
        <w:tc>
          <w:tcPr>
            <w:tcW w:w="1583"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备注</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非必输项</w:t>
            </w:r>
          </w:p>
        </w:tc>
      </w:tr>
    </w:tbl>
    <w:p>
      <w:pPr>
        <w:rPr>
          <w:rFonts w:ascii="宋体" w:hAnsi="宋体"/>
          <w:b/>
        </w:rPr>
      </w:pPr>
      <w:r>
        <w:rPr>
          <w:rFonts w:hint="eastAsia" w:ascii="宋体" w:hAnsi="宋体"/>
          <w:b/>
        </w:rPr>
        <w:t>操作界面4：（交易类别为新增，担保品性质为保证）</w:t>
      </w:r>
    </w:p>
    <w:p>
      <w:pPr>
        <w:rPr>
          <w:rFonts w:ascii="宋体" w:hAnsi="宋体"/>
          <w:b/>
        </w:rPr>
      </w:pPr>
      <w:r>
        <w:rPr>
          <w:rFonts w:ascii="宋体" w:hAnsi="宋体"/>
          <w:b/>
        </w:rPr>
        <w:drawing>
          <wp:inline distT="0" distB="0" distL="0" distR="0">
            <wp:extent cx="6124575" cy="4514850"/>
            <wp:effectExtent l="19050" t="0" r="9525" b="0"/>
            <wp:docPr id="227"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63"/>
                    <pic:cNvPicPr>
                      <a:picLocks noChangeAspect="1" noChangeArrowheads="1"/>
                    </pic:cNvPicPr>
                  </pic:nvPicPr>
                  <pic:blipFill>
                    <a:blip r:embed="rId10"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栏位说明4：（交易类别为新增，担保品性质为保证）</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担保合同号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合同到期日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需大于等于系统日期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最高额合同</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0-不是1-是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担保品性质</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1-抵押2-质押3-保证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担保人证件类别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担保人证件号码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担保人客户号码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担保人客户名称</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担保品截止日期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必输项，输入的日期要大于等于合同到期日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必输项，输入的担保金额不能高于评估价值折算后的金额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12" w:space="0"/>
              <w:right w:val="single" w:color="auto" w:sz="6" w:space="0"/>
            </w:tcBorders>
            <w:vAlign w:val="center"/>
          </w:tcPr>
          <w:p>
            <w:pPr>
              <w:numPr>
                <w:ilvl w:val="0"/>
                <w:numId w:val="8"/>
              </w:numPr>
              <w:jc w:val="center"/>
              <w:rPr>
                <w:rFonts w:ascii="宋体" w:hAnsi="宋体"/>
                <w:b/>
              </w:rPr>
            </w:pPr>
          </w:p>
        </w:tc>
        <w:tc>
          <w:tcPr>
            <w:tcW w:w="1583"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备注</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非必输项</w:t>
            </w:r>
          </w:p>
        </w:tc>
      </w:tr>
    </w:tbl>
    <w:p>
      <w:pPr>
        <w:rPr>
          <w:rFonts w:ascii="宋体" w:hAnsi="宋体"/>
          <w:b/>
        </w:rPr>
      </w:pPr>
      <w:r>
        <w:rPr>
          <w:rFonts w:hint="eastAsia" w:ascii="宋体" w:hAnsi="宋体"/>
          <w:b/>
        </w:rPr>
        <w:t>操作界面5：（交易类别为修改）</w:t>
      </w:r>
    </w:p>
    <w:p>
      <w:pPr>
        <w:rPr>
          <w:rFonts w:ascii="宋体" w:hAnsi="宋体"/>
        </w:rPr>
      </w:pPr>
      <w:r>
        <w:rPr>
          <w:rFonts w:ascii="宋体" w:hAnsi="宋体"/>
        </w:rPr>
        <w:drawing>
          <wp:inline distT="0" distB="0" distL="0" distR="0">
            <wp:extent cx="6124575" cy="4514850"/>
            <wp:effectExtent l="19050" t="0" r="9525" b="0"/>
            <wp:docPr id="228"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64"/>
                    <pic:cNvPicPr>
                      <a:picLocks noChangeAspect="1" noChangeArrowheads="1"/>
                    </pic:cNvPicPr>
                  </pic:nvPicPr>
                  <pic:blipFill>
                    <a:blip r:embed="rId11"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栏位说明5：</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0" w:firstLine="0"/>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0" w:firstLine="0"/>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0" w:firstLine="0"/>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bl>
    <w:p>
      <w:pPr>
        <w:rPr>
          <w:rFonts w:ascii="宋体" w:hAnsi="宋体"/>
          <w:b/>
        </w:rPr>
      </w:pPr>
      <w:r>
        <w:rPr>
          <w:rFonts w:hint="eastAsia" w:ascii="宋体" w:hAnsi="宋体"/>
          <w:b/>
        </w:rPr>
        <w:t>操作界面6：（交易类别为删除）</w:t>
      </w:r>
    </w:p>
    <w:p>
      <w:pPr>
        <w:rPr>
          <w:rFonts w:ascii="宋体" w:hAnsi="宋体"/>
          <w:b/>
        </w:rPr>
      </w:pPr>
      <w:r>
        <w:rPr>
          <w:rFonts w:ascii="宋体" w:hAnsi="宋体"/>
          <w:b/>
        </w:rPr>
        <w:drawing>
          <wp:inline distT="0" distB="0" distL="0" distR="0">
            <wp:extent cx="6124575" cy="4514850"/>
            <wp:effectExtent l="19050" t="0" r="9525" b="0"/>
            <wp:docPr id="229"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65"/>
                    <pic:cNvPicPr>
                      <a:picLocks noChangeAspect="1" noChangeArrowheads="1"/>
                    </pic:cNvPicPr>
                  </pic:nvPicPr>
                  <pic:blipFill>
                    <a:blip r:embed="rId12"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栏位说明6：（交易类别为删除）</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5"/>
        <w:gridCol w:w="1583"/>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8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0" w:firstLine="0"/>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0" w:firstLine="0"/>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9" w:hRule="atLeast"/>
        </w:trPr>
        <w:tc>
          <w:tcPr>
            <w:tcW w:w="685" w:type="dxa"/>
            <w:tcBorders>
              <w:top w:val="single" w:color="auto" w:sz="6" w:space="0"/>
              <w:left w:val="single" w:color="auto" w:sz="12" w:space="0"/>
              <w:bottom w:val="single" w:color="auto" w:sz="6" w:space="0"/>
              <w:right w:val="single" w:color="auto" w:sz="6" w:space="0"/>
            </w:tcBorders>
            <w:vAlign w:val="center"/>
          </w:tcPr>
          <w:p>
            <w:pPr>
              <w:numPr>
                <w:ilvl w:val="0"/>
                <w:numId w:val="10"/>
              </w:numPr>
              <w:ind w:left="0" w:firstLine="0"/>
              <w:jc w:val="left"/>
              <w:rPr>
                <w:rFonts w:ascii="宋体" w:hAnsi="宋体"/>
                <w:b/>
              </w:rPr>
            </w:pPr>
          </w:p>
        </w:tc>
        <w:tc>
          <w:tcPr>
            <w:tcW w:w="158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pPr>
      <w:r>
        <w:rPr>
          <w:rFonts w:hint="eastAsia"/>
        </w:rPr>
        <w:t>操作流程</w:t>
      </w:r>
    </w:p>
    <w:p>
      <w:pPr>
        <w:numPr>
          <w:ilvl w:val="0"/>
          <w:numId w:val="11"/>
        </w:numPr>
        <w:rPr>
          <w:rFonts w:ascii="宋体" w:hAnsi="宋体"/>
          <w:kern w:val="0"/>
        </w:rPr>
      </w:pPr>
      <w:r>
        <w:rPr>
          <w:rFonts w:hint="eastAsia" w:ascii="宋体" w:hAnsi="宋体"/>
          <w:kern w:val="0"/>
        </w:rPr>
        <w:t>柜员根据业务需要启动担保品维护（690101）交易。</w:t>
      </w:r>
    </w:p>
    <w:p>
      <w:pPr>
        <w:numPr>
          <w:ilvl w:val="0"/>
          <w:numId w:val="11"/>
        </w:numPr>
        <w:rPr>
          <w:rFonts w:ascii="宋体" w:hAnsi="宋体"/>
          <w:kern w:val="0"/>
        </w:rPr>
      </w:pPr>
      <w:r>
        <w:rPr>
          <w:rFonts w:hint="eastAsia" w:ascii="宋体" w:hAnsi="宋体" w:cs="仿宋_GB2312"/>
          <w:kern w:val="0"/>
          <w:lang w:val="zh-CN"/>
        </w:rPr>
        <w:t>根据业务的要求选择不同种类的交易类别：</w:t>
      </w:r>
    </w:p>
    <w:p>
      <w:pPr>
        <w:ind w:firstLine="420" w:firstLineChars="200"/>
        <w:rPr>
          <w:rFonts w:ascii="宋体" w:hAnsi="宋体"/>
          <w:kern w:val="0"/>
        </w:rPr>
      </w:pPr>
      <w:r>
        <w:rPr>
          <w:rFonts w:hint="eastAsia" w:ascii="宋体" w:hAnsi="宋体"/>
          <w:kern w:val="0"/>
        </w:rPr>
        <w:t>（1）当选择“1－增加”时，担保品组号和担保品编号不输入，点击提交，然后柜员输入担保合同号、合同到期日等要素，提交后再输入担保品种类、所有人证件类型等要素，确认无误后点击提交按钮，系统自动生成担保品组号和担保品编号。</w:t>
      </w:r>
    </w:p>
    <w:p>
      <w:pPr>
        <w:tabs>
          <w:tab w:val="left" w:pos="840"/>
        </w:tabs>
        <w:ind w:firstLine="420" w:firstLineChars="200"/>
        <w:rPr>
          <w:rFonts w:ascii="宋体" w:hAnsi="宋体"/>
          <w:kern w:val="0"/>
        </w:rPr>
      </w:pPr>
      <w:r>
        <w:rPr>
          <w:rFonts w:hint="eastAsia" w:ascii="宋体" w:hAnsi="宋体"/>
          <w:kern w:val="0"/>
        </w:rPr>
        <w:t>（2）当选择“3－修改”时，如果输入担保品组号不输入担保品编号提交，系统反显担保合同号、合同到期日等信息，柜员根据需要对可修改信息进行修改；如果即输入担保品组号又输入担保品编号提交，系统反显抵/质押品号码、评估日期、币种等信息，柜员根据需要对可修改信息进行修改，确认无误后提交，系统提示需由02级柜员授权，经授权成功后系统提示交易成功。</w:t>
      </w:r>
    </w:p>
    <w:p>
      <w:pPr>
        <w:tabs>
          <w:tab w:val="left" w:pos="840"/>
        </w:tabs>
        <w:ind w:firstLine="420" w:firstLineChars="200"/>
        <w:rPr>
          <w:rFonts w:ascii="宋体" w:hAnsi="宋体"/>
          <w:kern w:val="0"/>
        </w:rPr>
      </w:pPr>
      <w:r>
        <w:rPr>
          <w:rFonts w:hint="eastAsia" w:ascii="宋体" w:hAnsi="宋体"/>
          <w:kern w:val="0"/>
        </w:rPr>
        <w:t>（3）当选择“4－删除”时，输入担保品组号、担保品编号，系统自动反显担保合同号、合同到期日等信息，柜员确认无误后点击提交按钮，系统提示需由02级柜员授权，经授权成功后系统提示交易成功。如果不输入担保品编号则删除担保品组内的全部信息。</w:t>
      </w:r>
    </w:p>
    <w:p>
      <w:pPr>
        <w:numPr>
          <w:ilvl w:val="0"/>
          <w:numId w:val="11"/>
        </w:numPr>
        <w:rPr>
          <w:rFonts w:ascii="宋体" w:hAnsi="宋体"/>
          <w:kern w:val="0"/>
        </w:rPr>
      </w:pPr>
      <w:r>
        <w:rPr>
          <w:rFonts w:hint="eastAsia" w:ascii="宋体" w:hAnsi="宋体"/>
          <w:kern w:val="0"/>
        </w:rPr>
        <w:t>交易处理成功后，退出本交易。</w:t>
      </w:r>
    </w:p>
    <w:p>
      <w:pPr>
        <w:pStyle w:val="4"/>
        <w:numPr>
          <w:ilvl w:val="2"/>
          <w:numId w:val="4"/>
        </w:numPr>
        <w:ind w:left="422" w:hanging="422"/>
      </w:pPr>
      <w:bookmarkStart w:id="2" w:name="_Toc364694012"/>
      <w:r>
        <w:rPr>
          <w:rFonts w:hint="eastAsia"/>
        </w:rPr>
        <w:t>注意事项</w:t>
      </w:r>
      <w:bookmarkEnd w:id="2"/>
    </w:p>
    <w:p>
      <w:pPr>
        <w:numPr>
          <w:ilvl w:val="0"/>
          <w:numId w:val="12"/>
        </w:numPr>
        <w:rPr>
          <w:rFonts w:ascii="宋体" w:hAnsi="宋体"/>
          <w:kern w:val="0"/>
        </w:rPr>
      </w:pPr>
      <w:r>
        <w:rPr>
          <w:rFonts w:hint="eastAsia" w:ascii="宋体" w:hAnsi="宋体"/>
          <w:kern w:val="0"/>
        </w:rPr>
        <w:t>该交易仅适用于未上信贷管理系统的机构。</w:t>
      </w:r>
    </w:p>
    <w:p>
      <w:pPr>
        <w:numPr>
          <w:ilvl w:val="0"/>
          <w:numId w:val="12"/>
        </w:numPr>
        <w:rPr>
          <w:rFonts w:ascii="宋体" w:hAnsi="宋体"/>
          <w:kern w:val="0"/>
        </w:rPr>
      </w:pPr>
      <w:r>
        <w:rPr>
          <w:rFonts w:hint="eastAsia" w:ascii="宋体" w:hAnsi="宋体"/>
          <w:kern w:val="0"/>
        </w:rPr>
        <w:t>贷款开户前，如果是抵质押、保证贷款，需要录入担保品信息。</w:t>
      </w:r>
    </w:p>
    <w:p>
      <w:pPr>
        <w:numPr>
          <w:ilvl w:val="0"/>
          <w:numId w:val="12"/>
        </w:numPr>
        <w:rPr>
          <w:rFonts w:ascii="宋体" w:hAnsi="宋体"/>
          <w:kern w:val="0"/>
        </w:rPr>
      </w:pPr>
      <w:r>
        <w:rPr>
          <w:rFonts w:hint="eastAsia" w:ascii="宋体" w:hAnsi="宋体"/>
          <w:kern w:val="0"/>
        </w:rPr>
        <w:t>担保品新增时必须建立担保人和担保品所有人的客户信息。</w:t>
      </w:r>
    </w:p>
    <w:p>
      <w:pPr>
        <w:numPr>
          <w:ilvl w:val="0"/>
          <w:numId w:val="12"/>
        </w:numPr>
        <w:rPr>
          <w:rFonts w:ascii="宋体" w:hAnsi="宋体"/>
          <w:kern w:val="0"/>
        </w:rPr>
      </w:pPr>
      <w:r>
        <w:rPr>
          <w:rFonts w:hint="eastAsia" w:ascii="宋体" w:hAnsi="宋体"/>
          <w:b/>
          <w:kern w:val="0"/>
        </w:rPr>
        <w:t>如果担保品种类选择存单时，应在质押品号码字段录入存单的账号</w:t>
      </w:r>
      <w:r>
        <w:rPr>
          <w:rFonts w:hint="eastAsia" w:ascii="宋体" w:hAnsi="宋体"/>
          <w:kern w:val="0"/>
        </w:rPr>
        <w:t>；若质押的为一本通存折时，柜员应启动“储蓄存单移出定期一本通-274190”交易把一本通存折总户下需要质押的分户转换成存单后再做担保品维护交易。</w:t>
      </w:r>
    </w:p>
    <w:p>
      <w:pPr>
        <w:numPr>
          <w:ilvl w:val="0"/>
          <w:numId w:val="12"/>
        </w:numPr>
        <w:rPr>
          <w:rFonts w:ascii="宋体" w:hAnsi="宋体"/>
          <w:kern w:val="0"/>
        </w:rPr>
      </w:pPr>
      <w:r>
        <w:rPr>
          <w:rFonts w:hint="eastAsia" w:ascii="宋体" w:hAnsi="宋体"/>
          <w:kern w:val="0"/>
        </w:rPr>
        <w:t>如果担保品种类选择保证时，当两个以上保证人在合同中约定各自的保证份额时，此时各保证人担保合计金额等于担保总金额。</w:t>
      </w:r>
    </w:p>
    <w:p>
      <w:pPr>
        <w:numPr>
          <w:ilvl w:val="0"/>
          <w:numId w:val="12"/>
        </w:numPr>
        <w:rPr>
          <w:rFonts w:ascii="宋体" w:hAnsi="宋体"/>
          <w:b/>
          <w:kern w:val="0"/>
        </w:rPr>
      </w:pPr>
      <w:r>
        <w:rPr>
          <w:rFonts w:hint="eastAsia" w:ascii="宋体" w:hAnsi="宋体"/>
          <w:b/>
          <w:kern w:val="0"/>
        </w:rPr>
        <w:t>担保品新增时不受担保品的数量限制</w:t>
      </w:r>
      <w:r>
        <w:rPr>
          <w:rFonts w:hint="eastAsia" w:ascii="宋体" w:hAnsi="宋体"/>
          <w:kern w:val="0"/>
        </w:rPr>
        <w:t>。第一次新增的时候不用输入担保品组号和担保品编号，系统自动生成一个担保品组号和一个担保品编号，如果还有其他的担保品，继续选择新增，在“担保品组号”字段输入第一次增加担保品产生的担保品组号，这样就可以把两个担保品放在一个组内管理，通过这种操作方法可以将多个担保品放在一个组里。</w:t>
      </w:r>
      <w:r>
        <w:rPr>
          <w:rFonts w:hint="eastAsia" w:ascii="宋体" w:hAnsi="宋体"/>
          <w:b/>
          <w:kern w:val="0"/>
        </w:rPr>
        <w:t>通过一个担保品组号与贷款关联。</w:t>
      </w:r>
    </w:p>
    <w:p>
      <w:pPr>
        <w:numPr>
          <w:ilvl w:val="0"/>
          <w:numId w:val="12"/>
        </w:numPr>
        <w:rPr>
          <w:rFonts w:ascii="宋体" w:hAnsi="宋体"/>
          <w:kern w:val="0"/>
        </w:rPr>
      </w:pPr>
      <w:r>
        <w:rPr>
          <w:rFonts w:hint="eastAsia" w:ascii="宋体" w:hAnsi="宋体"/>
          <w:kern w:val="0"/>
        </w:rPr>
        <w:t>如果要修改担保品组或者担保品的信息，担保品的状态必须为新建，入库的担保品不得修改，</w:t>
      </w:r>
    </w:p>
    <w:p>
      <w:pPr>
        <w:numPr>
          <w:ilvl w:val="0"/>
          <w:numId w:val="12"/>
        </w:numPr>
        <w:rPr>
          <w:rFonts w:ascii="宋体" w:hAnsi="宋体"/>
          <w:kern w:val="0"/>
        </w:rPr>
      </w:pPr>
      <w:r>
        <w:rPr>
          <w:rFonts w:hint="eastAsia" w:ascii="宋体" w:hAnsi="宋体"/>
          <w:kern w:val="0"/>
        </w:rPr>
        <w:t>担保品组的</w:t>
      </w:r>
      <w:r>
        <w:rPr>
          <w:rFonts w:hint="eastAsia" w:ascii="宋体" w:hAnsi="宋体"/>
          <w:b/>
          <w:kern w:val="0"/>
        </w:rPr>
        <w:t>修改</w:t>
      </w:r>
      <w:r>
        <w:rPr>
          <w:rFonts w:hint="eastAsia" w:ascii="宋体" w:hAnsi="宋体"/>
          <w:kern w:val="0"/>
        </w:rPr>
        <w:t>只能修改“担保合同号”和“合同到期日期”；担保品的修改可以修改“担保品的截止日期”和“担保金额”等信息，如果还有其他需要修改的信息，只能删除原担保品信息，重新建立新信息。</w:t>
      </w:r>
    </w:p>
    <w:p>
      <w:pPr>
        <w:numPr>
          <w:ilvl w:val="0"/>
          <w:numId w:val="12"/>
        </w:numPr>
        <w:rPr>
          <w:rFonts w:hint="eastAsia" w:ascii="宋体" w:hAnsi="宋体"/>
          <w:kern w:val="0"/>
        </w:rPr>
      </w:pPr>
      <w:r>
        <w:rPr>
          <w:rFonts w:hint="eastAsia" w:ascii="宋体" w:hAnsi="宋体"/>
          <w:kern w:val="0"/>
        </w:rPr>
        <w:t>如果要删除担保品组或者担保品的信息，担保品的状态必须为新建，入库的担保品不得删除，只能做出库处理。</w:t>
      </w:r>
    </w:p>
    <w:p>
      <w:pPr>
        <w:numPr>
          <w:ilvl w:val="0"/>
          <w:numId w:val="12"/>
        </w:numPr>
        <w:rPr>
          <w:rFonts w:ascii="宋体" w:hAnsi="宋体"/>
          <w:kern w:val="0"/>
        </w:rPr>
      </w:pPr>
      <w:r>
        <w:rPr>
          <w:rFonts w:hint="eastAsia" w:ascii="宋体" w:hAnsi="宋体"/>
          <w:kern w:val="0"/>
        </w:rPr>
        <w:t>系统抵质押率可在后台配置。按照发起行要求，2018年10月18日后台设置抵押率为100%，质押率为90%。</w:t>
      </w:r>
    </w:p>
    <w:p>
      <w:pPr>
        <w:pStyle w:val="4"/>
        <w:numPr>
          <w:ilvl w:val="2"/>
          <w:numId w:val="4"/>
        </w:numPr>
        <w:ind w:left="422" w:hanging="422"/>
      </w:pPr>
      <w:r>
        <w:rPr>
          <w:rFonts w:hint="eastAsia"/>
        </w:rPr>
        <w:t>业务规则</w:t>
      </w:r>
    </w:p>
    <w:p>
      <w:pPr>
        <w:pStyle w:val="78"/>
        <w:numPr>
          <w:ilvl w:val="0"/>
          <w:numId w:val="13"/>
        </w:numPr>
        <w:ind w:firstLineChars="0"/>
        <w:rPr>
          <w:rFonts w:ascii="宋体" w:hAnsi="宋体"/>
          <w:kern w:val="0"/>
        </w:rPr>
      </w:pPr>
      <w:r>
        <w:rPr>
          <w:rFonts w:hint="eastAsia" w:ascii="宋体" w:hAnsi="宋体"/>
          <w:kern w:val="0"/>
        </w:rPr>
        <w:t>新增担保品截止日期需要大于等于合同到期日。</w:t>
      </w:r>
    </w:p>
    <w:p>
      <w:pPr>
        <w:pStyle w:val="78"/>
        <w:numPr>
          <w:ilvl w:val="0"/>
          <w:numId w:val="13"/>
        </w:numPr>
        <w:ind w:firstLineChars="0"/>
        <w:rPr>
          <w:rFonts w:ascii="宋体" w:hAnsi="宋体"/>
          <w:kern w:val="0"/>
        </w:rPr>
      </w:pPr>
      <w:r>
        <w:rPr>
          <w:rFonts w:hint="eastAsia" w:ascii="宋体" w:hAnsi="宋体"/>
          <w:kern w:val="0"/>
        </w:rPr>
        <w:t>申请贷款人不能为自己做担保。</w:t>
      </w:r>
    </w:p>
    <w:p>
      <w:pPr>
        <w:pStyle w:val="3"/>
        <w:numPr>
          <w:ilvl w:val="1"/>
          <w:numId w:val="4"/>
        </w:numPr>
        <w:spacing w:after="0" w:line="240" w:lineRule="auto"/>
        <w:ind w:left="422" w:hanging="422"/>
      </w:pPr>
      <w:r>
        <w:rPr>
          <w:rFonts w:hint="eastAsia"/>
        </w:rPr>
        <w:t>担保品入库</w:t>
      </w:r>
    </w:p>
    <w:p>
      <w:pPr>
        <w:pStyle w:val="4"/>
        <w:numPr>
          <w:ilvl w:val="2"/>
          <w:numId w:val="4"/>
        </w:numPr>
        <w:ind w:left="422" w:hanging="422"/>
      </w:pPr>
      <w:bookmarkStart w:id="3" w:name="_Toc364694015"/>
      <w:r>
        <w:rPr>
          <w:rFonts w:hint="eastAsia"/>
        </w:rPr>
        <w:t>基本信息</w:t>
      </w:r>
      <w:bookmarkEnd w:id="3"/>
    </w:p>
    <w:tbl>
      <w:tblPr>
        <w:tblStyle w:val="49"/>
        <w:tblW w:w="831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63"/>
        <w:gridCol w:w="644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63"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44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担保品入库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63"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44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690201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63"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448" w:type="dxa"/>
            <w:tcBorders>
              <w:top w:val="single" w:color="auto" w:sz="6" w:space="0"/>
              <w:left w:val="single" w:color="auto" w:sz="6" w:space="0"/>
              <w:bottom w:val="single" w:color="auto" w:sz="6" w:space="0"/>
              <w:right w:val="single" w:color="auto" w:sz="12" w:space="0"/>
            </w:tcBorders>
            <w:vAlign w:val="center"/>
          </w:tcPr>
          <w:p>
            <w:pPr>
              <w:spacing w:after="120"/>
              <w:rPr>
                <w:rFonts w:ascii="宋体" w:hAnsi="宋体"/>
              </w:rPr>
            </w:pPr>
            <w:r>
              <w:rPr>
                <w:rFonts w:hint="eastAsia" w:ascii="宋体" w:hAnsi="宋体"/>
              </w:rPr>
              <w:t>本交易用于担保品入库。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63"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44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63"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44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担保品业务管理维护角色柜员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63"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44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63"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44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63"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44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担保品性质为抵/质押时，打印担保品入库封面、担保品出库通知书、表外收入传票；担保性质为保证时，不打印任何凭证。</w:t>
            </w:r>
          </w:p>
        </w:tc>
      </w:tr>
    </w:tbl>
    <w:p>
      <w:pPr>
        <w:pStyle w:val="4"/>
        <w:numPr>
          <w:ilvl w:val="2"/>
          <w:numId w:val="4"/>
        </w:numPr>
        <w:ind w:left="422" w:hanging="422"/>
      </w:pPr>
      <w:bookmarkStart w:id="4" w:name="_Toc364694016"/>
      <w:r>
        <w:rPr>
          <w:rFonts w:hint="eastAsia"/>
        </w:rPr>
        <w:t>操作界面及栏位说明</w:t>
      </w:r>
      <w:bookmarkEnd w:id="4"/>
    </w:p>
    <w:p>
      <w:pPr>
        <w:spacing w:after="120"/>
        <w:rPr>
          <w:rFonts w:ascii="宋体" w:hAnsi="宋体"/>
          <w:b/>
          <w:kern w:val="0"/>
        </w:rPr>
      </w:pPr>
      <w:r>
        <w:rPr>
          <w:rFonts w:hint="eastAsia" w:ascii="宋体" w:hAnsi="宋体"/>
          <w:b/>
          <w:kern w:val="0"/>
        </w:rPr>
        <w:t>操作界面1：</w:t>
      </w:r>
    </w:p>
    <w:p>
      <w:pPr>
        <w:rPr>
          <w:rFonts w:ascii="宋体" w:hAnsi="宋体"/>
          <w:b/>
          <w:snapToGrid w:val="0"/>
        </w:rPr>
      </w:pPr>
      <w:r>
        <w:rPr>
          <w:rFonts w:ascii="宋体" w:hAnsi="宋体"/>
          <w:b/>
        </w:rPr>
        <w:drawing>
          <wp:inline distT="0" distB="0" distL="0" distR="0">
            <wp:extent cx="6124575" cy="4514850"/>
            <wp:effectExtent l="19050" t="0" r="9525" b="0"/>
            <wp:docPr id="230"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66"/>
                    <pic:cNvPicPr>
                      <a:picLocks noChangeAspect="1" noChangeArrowheads="1"/>
                    </pic:cNvPicPr>
                  </pic:nvPicPr>
                  <pic:blipFill>
                    <a:blip r:embed="rId13" cstate="print"/>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栏位说明1：</w:t>
      </w:r>
    </w:p>
    <w:tbl>
      <w:tblPr>
        <w:tblStyle w:val="49"/>
        <w:tblW w:w="9630"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559"/>
        <w:gridCol w:w="1276"/>
        <w:gridCol w:w="1134"/>
        <w:gridCol w:w="1134"/>
        <w:gridCol w:w="851"/>
        <w:gridCol w:w="29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top w:val="single" w:color="auto" w:sz="12" w:space="0"/>
              <w:left w:val="single" w:color="auto" w:sz="6" w:space="0"/>
              <w:bottom w:val="single" w:color="auto" w:sz="6"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6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14"/>
              </w:numPr>
              <w:jc w:val="center"/>
              <w:rPr>
                <w:rFonts w:ascii="宋体" w:hAnsi="宋体"/>
                <w:b/>
              </w:rPr>
            </w:pPr>
          </w:p>
        </w:tc>
        <w:tc>
          <w:tcPr>
            <w:tcW w:w="1559"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担保品编号</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6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w:t>
            </w:r>
          </w:p>
        </w:tc>
      </w:tr>
    </w:tbl>
    <w:p>
      <w:pPr>
        <w:rPr>
          <w:rFonts w:ascii="宋体" w:hAnsi="宋体"/>
          <w:b/>
        </w:rPr>
      </w:pPr>
      <w:r>
        <w:rPr>
          <w:rFonts w:hint="eastAsia" w:ascii="宋体" w:hAnsi="宋体"/>
          <w:b/>
        </w:rPr>
        <w:t>操作界面2：</w:t>
      </w:r>
    </w:p>
    <w:p>
      <w:pPr>
        <w:rPr>
          <w:rFonts w:ascii="宋体" w:hAnsi="宋体"/>
          <w:b/>
        </w:rPr>
      </w:pPr>
      <w:r>
        <w:rPr>
          <w:rFonts w:ascii="宋体" w:hAnsi="宋体"/>
          <w:b/>
        </w:rPr>
        <w:drawing>
          <wp:inline distT="0" distB="0" distL="0" distR="0">
            <wp:extent cx="6124575" cy="4514850"/>
            <wp:effectExtent l="19050" t="0" r="9525" b="0"/>
            <wp:docPr id="231"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67"/>
                    <pic:cNvPicPr>
                      <a:picLocks noChangeAspect="1" noChangeArrowheads="1"/>
                    </pic:cNvPicPr>
                  </pic:nvPicPr>
                  <pic:blipFill>
                    <a:blip r:embed="rId14"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9"/>
        <w:tblW w:w="9630"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559"/>
        <w:gridCol w:w="1276"/>
        <w:gridCol w:w="1134"/>
        <w:gridCol w:w="1134"/>
        <w:gridCol w:w="851"/>
        <w:gridCol w:w="29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top w:val="single" w:color="auto" w:sz="12" w:space="0"/>
              <w:left w:val="single" w:color="auto" w:sz="6" w:space="0"/>
              <w:bottom w:val="single" w:color="auto" w:sz="6"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68"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15"/>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15"/>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15"/>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合同到期日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15"/>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最高额合同</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15"/>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15"/>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抵押评估价合计</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15"/>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质押评估价合计</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15"/>
              </w:numPr>
              <w:jc w:val="center"/>
              <w:rPr>
                <w:rFonts w:ascii="宋体" w:hAnsi="宋体"/>
                <w:b/>
              </w:rPr>
            </w:pPr>
          </w:p>
        </w:tc>
        <w:tc>
          <w:tcPr>
            <w:tcW w:w="1559"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担保金额合计</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6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pPr>
      <w:r>
        <w:rPr>
          <w:rFonts w:hint="eastAsia"/>
        </w:rPr>
        <w:t>操作流程</w:t>
      </w:r>
    </w:p>
    <w:p>
      <w:pPr>
        <w:numPr>
          <w:ilvl w:val="0"/>
          <w:numId w:val="16"/>
        </w:numPr>
        <w:tabs>
          <w:tab w:val="left" w:pos="840"/>
        </w:tabs>
        <w:ind w:left="0" w:firstLine="420"/>
        <w:rPr>
          <w:rFonts w:ascii="宋体" w:hAnsi="宋体"/>
          <w:kern w:val="0"/>
        </w:rPr>
      </w:pPr>
      <w:r>
        <w:rPr>
          <w:rFonts w:hint="eastAsia" w:ascii="宋体" w:hAnsi="宋体"/>
          <w:kern w:val="0"/>
        </w:rPr>
        <w:t>柜员根据业务需要启动</w:t>
      </w:r>
      <w:r>
        <w:rPr>
          <w:rFonts w:hint="eastAsia" w:ascii="宋体" w:hAnsi="宋体"/>
          <w:bCs/>
          <w:kern w:val="0"/>
        </w:rPr>
        <w:t>担保品入库（690201）</w:t>
      </w:r>
      <w:r>
        <w:rPr>
          <w:rFonts w:hint="eastAsia" w:ascii="宋体" w:hAnsi="宋体"/>
          <w:kern w:val="0"/>
        </w:rPr>
        <w:t>交易。</w:t>
      </w:r>
    </w:p>
    <w:p>
      <w:pPr>
        <w:numPr>
          <w:ilvl w:val="0"/>
          <w:numId w:val="16"/>
        </w:numPr>
        <w:tabs>
          <w:tab w:val="left" w:pos="840"/>
        </w:tabs>
        <w:ind w:left="0" w:firstLine="420"/>
        <w:rPr>
          <w:rFonts w:ascii="宋体" w:hAnsi="宋体"/>
          <w:kern w:val="0"/>
        </w:rPr>
      </w:pPr>
      <w:r>
        <w:rPr>
          <w:rFonts w:hint="eastAsia" w:ascii="宋体" w:hAnsi="宋体"/>
          <w:kern w:val="0"/>
        </w:rPr>
        <w:t>柜员输入担保品组号、担保品编号等要素后提交，系统自动反显担保品组信息或该组号下的某个担保品信息，柜员确认无误后点击提交按钮。</w:t>
      </w:r>
    </w:p>
    <w:p>
      <w:pPr>
        <w:numPr>
          <w:ilvl w:val="0"/>
          <w:numId w:val="16"/>
        </w:numPr>
        <w:tabs>
          <w:tab w:val="left" w:pos="840"/>
        </w:tabs>
        <w:ind w:left="0" w:firstLine="420"/>
        <w:rPr>
          <w:rFonts w:ascii="宋体" w:hAnsi="宋体"/>
          <w:kern w:val="0"/>
        </w:rPr>
      </w:pPr>
      <w:r>
        <w:rPr>
          <w:rFonts w:hint="eastAsia" w:ascii="宋体" w:hAnsi="宋体"/>
          <w:kern w:val="0"/>
        </w:rPr>
        <w:t>柜员按系统提示打印担保品入库封面、表外收入传票、两份担保品入库通知书。</w:t>
      </w:r>
    </w:p>
    <w:p>
      <w:pPr>
        <w:numPr>
          <w:ilvl w:val="0"/>
          <w:numId w:val="16"/>
        </w:numPr>
        <w:tabs>
          <w:tab w:val="left" w:pos="840"/>
        </w:tabs>
        <w:ind w:left="0" w:firstLine="420"/>
        <w:rPr>
          <w:rFonts w:ascii="宋体" w:hAnsi="宋体"/>
          <w:kern w:val="0"/>
        </w:rPr>
      </w:pPr>
      <w:r>
        <w:rPr>
          <w:rFonts w:hint="eastAsia" w:ascii="宋体" w:hAnsi="宋体"/>
          <w:kern w:val="0"/>
        </w:rPr>
        <w:t>打印完毕后，柜员在业务凭证上加盖业务讫章，将一份担保品入库通知书交客户，同时将另一份担保品入库通知书交信贷部门或与表外收入传票一并入传票管理。</w:t>
      </w:r>
    </w:p>
    <w:p>
      <w:pPr>
        <w:numPr>
          <w:ilvl w:val="0"/>
          <w:numId w:val="16"/>
        </w:numPr>
        <w:tabs>
          <w:tab w:val="left" w:pos="840"/>
        </w:tabs>
        <w:ind w:left="0" w:firstLine="420"/>
        <w:rPr>
          <w:rFonts w:ascii="宋体" w:hAnsi="宋体"/>
          <w:kern w:val="0"/>
        </w:rPr>
      </w:pPr>
      <w:r>
        <w:rPr>
          <w:rFonts w:hint="eastAsia" w:ascii="宋体" w:hAnsi="宋体"/>
          <w:kern w:val="0"/>
        </w:rPr>
        <w:t>交易处理成功后，退出本交易。</w:t>
      </w:r>
    </w:p>
    <w:p>
      <w:pPr>
        <w:pStyle w:val="4"/>
        <w:numPr>
          <w:ilvl w:val="2"/>
          <w:numId w:val="4"/>
        </w:numPr>
        <w:ind w:left="422" w:hanging="422"/>
      </w:pPr>
      <w:bookmarkStart w:id="5" w:name="_Toc364694018"/>
      <w:r>
        <w:rPr>
          <w:rFonts w:hint="eastAsia"/>
        </w:rPr>
        <w:t>注意事项</w:t>
      </w:r>
      <w:bookmarkEnd w:id="5"/>
    </w:p>
    <w:p>
      <w:pPr>
        <w:numPr>
          <w:ilvl w:val="0"/>
          <w:numId w:val="17"/>
        </w:numPr>
        <w:tabs>
          <w:tab w:val="left" w:pos="840"/>
        </w:tabs>
        <w:ind w:left="0" w:firstLine="420"/>
        <w:rPr>
          <w:rFonts w:ascii="宋体" w:hAnsi="宋体" w:cs="仿宋_GB2312"/>
          <w:kern w:val="0"/>
          <w:lang w:val="zh-CN"/>
        </w:rPr>
      </w:pPr>
      <w:r>
        <w:rPr>
          <w:rFonts w:hint="eastAsia" w:ascii="宋体" w:hAnsi="宋体" w:cs="仿宋_GB2312"/>
          <w:kern w:val="0"/>
          <w:lang w:val="zh-CN"/>
        </w:rPr>
        <w:t>该交易仅适用于未上信贷管理系统的机构。</w:t>
      </w:r>
    </w:p>
    <w:p>
      <w:pPr>
        <w:numPr>
          <w:ilvl w:val="0"/>
          <w:numId w:val="17"/>
        </w:numPr>
        <w:tabs>
          <w:tab w:val="left" w:pos="840"/>
        </w:tabs>
        <w:ind w:left="0" w:firstLine="420"/>
        <w:rPr>
          <w:rFonts w:ascii="宋体" w:hAnsi="宋体"/>
          <w:kern w:val="0"/>
        </w:rPr>
      </w:pPr>
      <w:r>
        <w:rPr>
          <w:rFonts w:hint="eastAsia" w:ascii="宋体" w:hAnsi="宋体"/>
          <w:kern w:val="0"/>
        </w:rPr>
        <w:t>只输入担保品组号不输入担保品编号的时候，是将担保品组下的所有的担保品入库；即输入担保品组号又输入担保品编号情况下，是将该担保品组下的一个担保品入库。</w:t>
      </w:r>
    </w:p>
    <w:p>
      <w:pPr>
        <w:numPr>
          <w:ilvl w:val="0"/>
          <w:numId w:val="17"/>
        </w:numPr>
        <w:tabs>
          <w:tab w:val="left" w:pos="840"/>
        </w:tabs>
        <w:ind w:left="0" w:firstLine="420"/>
        <w:rPr>
          <w:rFonts w:ascii="宋体" w:hAnsi="宋体"/>
          <w:kern w:val="0"/>
        </w:rPr>
      </w:pPr>
      <w:r>
        <w:rPr>
          <w:rFonts w:hint="eastAsia" w:ascii="宋体" w:hAnsi="宋体"/>
          <w:kern w:val="0"/>
        </w:rPr>
        <w:t>入库后担保品状态由新建转为在库。</w:t>
      </w:r>
    </w:p>
    <w:p>
      <w:pPr>
        <w:numPr>
          <w:ilvl w:val="0"/>
          <w:numId w:val="17"/>
        </w:numPr>
        <w:tabs>
          <w:tab w:val="left" w:pos="840"/>
        </w:tabs>
        <w:ind w:left="0" w:firstLine="420"/>
        <w:rPr>
          <w:rFonts w:ascii="宋体" w:hAnsi="宋体"/>
          <w:kern w:val="0"/>
        </w:rPr>
      </w:pPr>
      <w:r>
        <w:rPr>
          <w:rFonts w:hint="eastAsia" w:ascii="宋体" w:hAnsi="宋体"/>
          <w:kern w:val="0"/>
        </w:rPr>
        <w:t>抵质押品的保管应由专人负责，入库保管。</w:t>
      </w:r>
    </w:p>
    <w:p>
      <w:pPr>
        <w:numPr>
          <w:ilvl w:val="0"/>
          <w:numId w:val="17"/>
        </w:numPr>
        <w:tabs>
          <w:tab w:val="left" w:pos="840"/>
        </w:tabs>
        <w:ind w:left="0" w:firstLine="420"/>
        <w:rPr>
          <w:rFonts w:ascii="宋体" w:hAnsi="宋体"/>
          <w:kern w:val="0"/>
        </w:rPr>
      </w:pPr>
      <w:r>
        <w:rPr>
          <w:rFonts w:hint="eastAsia" w:ascii="宋体" w:hAnsi="宋体"/>
          <w:kern w:val="0"/>
        </w:rPr>
        <w:t>担保品性质为“抵押、质押”时涉及账务处理，在表外106科目核算；担保品性质为“保证”时不涉及账务处理。</w:t>
      </w:r>
    </w:p>
    <w:p>
      <w:pPr>
        <w:numPr>
          <w:ilvl w:val="0"/>
          <w:numId w:val="17"/>
        </w:numPr>
        <w:tabs>
          <w:tab w:val="left" w:pos="840"/>
        </w:tabs>
        <w:ind w:left="0" w:firstLine="420"/>
        <w:rPr>
          <w:rFonts w:ascii="宋体" w:hAnsi="宋体"/>
          <w:kern w:val="0"/>
        </w:rPr>
      </w:pPr>
      <w:r>
        <w:rPr>
          <w:rFonts w:hint="eastAsia" w:ascii="宋体" w:hAnsi="宋体"/>
          <w:kern w:val="0"/>
        </w:rPr>
        <w:t>担保品入库后不得修改、删除，只能做出库处理。</w:t>
      </w:r>
    </w:p>
    <w:p>
      <w:pPr>
        <w:numPr>
          <w:ilvl w:val="0"/>
          <w:numId w:val="17"/>
        </w:numPr>
        <w:tabs>
          <w:tab w:val="left" w:pos="840"/>
        </w:tabs>
        <w:ind w:left="0" w:firstLine="420"/>
        <w:rPr>
          <w:rFonts w:ascii="宋体" w:hAnsi="宋体"/>
          <w:kern w:val="0"/>
        </w:rPr>
      </w:pPr>
      <w:r>
        <w:rPr>
          <w:rFonts w:hint="eastAsia" w:ascii="宋体" w:hAnsi="宋体"/>
          <w:b/>
          <w:kern w:val="0"/>
        </w:rPr>
        <w:t>担保品不是最高额担保品，不允许重复使用</w:t>
      </w:r>
      <w:r>
        <w:rPr>
          <w:rFonts w:hint="eastAsia" w:ascii="宋体" w:hAnsi="宋体"/>
          <w:kern w:val="0"/>
        </w:rPr>
        <w:t>。</w:t>
      </w:r>
    </w:p>
    <w:p>
      <w:pPr>
        <w:pStyle w:val="4"/>
        <w:numPr>
          <w:ilvl w:val="2"/>
          <w:numId w:val="4"/>
        </w:numPr>
        <w:ind w:left="422" w:hanging="422"/>
      </w:pPr>
      <w:r>
        <w:rPr>
          <w:rFonts w:hint="eastAsia"/>
        </w:rPr>
        <w:t>账务处理</w:t>
      </w:r>
    </w:p>
    <w:p>
      <w:pPr>
        <w:ind w:firstLine="420" w:firstLineChars="200"/>
        <w:rPr>
          <w:rFonts w:ascii="宋体" w:hAnsi="宋体"/>
        </w:rPr>
      </w:pPr>
      <w:r>
        <w:rPr>
          <w:rFonts w:hint="eastAsia" w:ascii="宋体" w:hAnsi="宋体"/>
        </w:rPr>
        <w:t>收：1060010抵押有价物品</w:t>
      </w:r>
    </w:p>
    <w:p>
      <w:pPr>
        <w:ind w:firstLine="420" w:firstLineChars="200"/>
        <w:rPr>
          <w:rFonts w:ascii="宋体" w:hAnsi="宋体"/>
        </w:rPr>
      </w:pPr>
      <w:r>
        <w:rPr>
          <w:rFonts w:hint="eastAsia" w:ascii="宋体" w:hAnsi="宋体"/>
        </w:rPr>
        <w:t xml:space="preserve">    或者1060020质押有价物品</w:t>
      </w:r>
    </w:p>
    <w:p>
      <w:pPr>
        <w:pStyle w:val="3"/>
        <w:numPr>
          <w:ilvl w:val="1"/>
          <w:numId w:val="4"/>
        </w:numPr>
        <w:spacing w:after="0" w:line="240" w:lineRule="auto"/>
        <w:ind w:left="422" w:hanging="422"/>
      </w:pPr>
      <w:r>
        <w:rPr>
          <w:rFonts w:hint="eastAsia"/>
        </w:rPr>
        <w:t>担保品出库</w:t>
      </w:r>
    </w:p>
    <w:p>
      <w:pPr>
        <w:pStyle w:val="4"/>
        <w:numPr>
          <w:ilvl w:val="2"/>
          <w:numId w:val="4"/>
        </w:numPr>
        <w:ind w:left="422" w:hanging="422"/>
      </w:pPr>
      <w:bookmarkStart w:id="6" w:name="_Toc364694020"/>
      <w:r>
        <w:rPr>
          <w:rFonts w:hint="eastAsia"/>
        </w:rPr>
        <w:t>基本信息</w:t>
      </w:r>
      <w:bookmarkEnd w:id="6"/>
    </w:p>
    <w:tbl>
      <w:tblPr>
        <w:tblStyle w:val="49"/>
        <w:tblW w:w="832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16"/>
        <w:gridCol w:w="65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16"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50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担保品出库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16"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50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690301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16"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508" w:type="dxa"/>
            <w:tcBorders>
              <w:top w:val="single" w:color="auto" w:sz="6" w:space="0"/>
              <w:left w:val="single" w:color="auto" w:sz="6" w:space="0"/>
              <w:bottom w:val="single" w:color="auto" w:sz="6" w:space="0"/>
              <w:right w:val="single" w:color="auto" w:sz="12" w:space="0"/>
            </w:tcBorders>
            <w:vAlign w:val="center"/>
          </w:tcPr>
          <w:p>
            <w:pPr>
              <w:rPr>
                <w:rFonts w:ascii="宋体" w:hAnsi="宋体"/>
                <w:b/>
              </w:rPr>
            </w:pPr>
            <w:r>
              <w:rPr>
                <w:rFonts w:hint="eastAsia" w:ascii="宋体" w:hAnsi="宋体"/>
              </w:rPr>
              <w:t>本交易用于担保品的出库。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16"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50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16"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50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担保品业务管理维护角色柜员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16"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50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16"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50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816"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508" w:type="dxa"/>
            <w:tcBorders>
              <w:top w:val="single" w:color="auto" w:sz="6" w:space="0"/>
              <w:left w:val="single" w:color="auto" w:sz="6" w:space="0"/>
              <w:bottom w:val="single" w:color="auto" w:sz="12" w:space="0"/>
              <w:right w:val="single" w:color="auto" w:sz="12" w:space="0"/>
            </w:tcBorders>
            <w:vAlign w:val="center"/>
          </w:tcPr>
          <w:p>
            <w:pPr>
              <w:spacing w:line="400" w:lineRule="exact"/>
              <w:jc w:val="left"/>
              <w:rPr>
                <w:rFonts w:ascii="宋体" w:hAnsi="宋体"/>
                <w:bCs/>
              </w:rPr>
            </w:pPr>
            <w:r>
              <w:rPr>
                <w:rFonts w:hint="eastAsia" w:ascii="宋体" w:hAnsi="宋体"/>
                <w:bCs/>
              </w:rPr>
              <w:t>担保品性质为抵/质押时，打印担保品出库通知书、表外付出传票；担保性质为保证时，不打印任何凭证。</w:t>
            </w:r>
          </w:p>
        </w:tc>
      </w:tr>
    </w:tbl>
    <w:p>
      <w:pPr>
        <w:pStyle w:val="4"/>
        <w:numPr>
          <w:ilvl w:val="2"/>
          <w:numId w:val="4"/>
        </w:numPr>
        <w:ind w:left="422" w:hanging="422"/>
      </w:pPr>
      <w:bookmarkStart w:id="7" w:name="_Toc364694021"/>
      <w:r>
        <w:rPr>
          <w:rFonts w:hint="eastAsia"/>
        </w:rPr>
        <w:t>操作界面及栏位说明</w:t>
      </w:r>
      <w:bookmarkEnd w:id="7"/>
    </w:p>
    <w:p>
      <w:pPr>
        <w:rPr>
          <w:rFonts w:ascii="宋体" w:hAnsi="宋体"/>
          <w:b/>
          <w:kern w:val="0"/>
        </w:rPr>
      </w:pPr>
      <w:r>
        <w:rPr>
          <w:rFonts w:hint="eastAsia" w:ascii="宋体" w:hAnsi="宋体"/>
          <w:b/>
          <w:kern w:val="0"/>
        </w:rPr>
        <w:t>操作界面1：</w:t>
      </w:r>
    </w:p>
    <w:p>
      <w:pPr>
        <w:spacing w:after="120"/>
        <w:rPr>
          <w:rFonts w:ascii="宋体" w:hAnsi="宋体"/>
          <w:kern w:val="0"/>
        </w:rPr>
      </w:pPr>
      <w:r>
        <w:rPr>
          <w:rFonts w:ascii="宋体" w:hAnsi="宋体"/>
          <w:kern w:val="0"/>
        </w:rPr>
        <w:drawing>
          <wp:inline distT="0" distB="0" distL="0" distR="0">
            <wp:extent cx="6124575" cy="4514850"/>
            <wp:effectExtent l="19050" t="0" r="9525" b="0"/>
            <wp:docPr id="232"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68"/>
                    <pic:cNvPicPr>
                      <a:picLocks noChangeAspect="1" noChangeArrowheads="1"/>
                    </pic:cNvPicPr>
                  </pic:nvPicPr>
                  <pic:blipFill>
                    <a:blip r:embed="rId15"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66"/>
        <w:gridCol w:w="1702"/>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12" w:space="0"/>
              <w:left w:val="single" w:color="auto" w:sz="12" w:space="0"/>
              <w:bottom w:val="single" w:color="auto" w:sz="12" w:space="0"/>
              <w:right w:val="single" w:color="auto" w:sz="6" w:space="0"/>
            </w:tcBorders>
            <w:shd w:val="clear" w:color="auto" w:fill="FABF8F"/>
            <w:vAlign w:val="center"/>
          </w:tcPr>
          <w:p>
            <w:pPr>
              <w:ind w:right="-107" w:rightChars="-51"/>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12" w:space="0"/>
              <w:left w:val="single" w:color="auto" w:sz="12" w:space="0"/>
              <w:bottom w:val="single" w:color="auto" w:sz="6" w:space="0"/>
              <w:right w:val="single" w:color="auto" w:sz="6" w:space="0"/>
            </w:tcBorders>
            <w:vAlign w:val="center"/>
          </w:tcPr>
          <w:p>
            <w:pPr>
              <w:numPr>
                <w:ilvl w:val="0"/>
                <w:numId w:val="18"/>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rPr>
            </w:pPr>
            <w:r>
              <w:rPr>
                <w:rFonts w:hint="eastAsia" w:ascii="宋体" w:hAnsi="宋体"/>
                <w:snapToGrid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6" w:space="0"/>
              <w:left w:val="single" w:color="auto" w:sz="12" w:space="0"/>
              <w:bottom w:val="single" w:color="auto" w:sz="12" w:space="0"/>
              <w:right w:val="single" w:color="auto" w:sz="6" w:space="0"/>
            </w:tcBorders>
            <w:vAlign w:val="center"/>
          </w:tcPr>
          <w:p>
            <w:pPr>
              <w:numPr>
                <w:ilvl w:val="0"/>
                <w:numId w:val="18"/>
              </w:numPr>
              <w:ind w:left="0" w:firstLine="0"/>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担保品编号</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rPr>
            </w:pPr>
            <w:r>
              <w:rPr>
                <w:rFonts w:hint="eastAsia" w:ascii="宋体" w:hAnsi="宋体"/>
                <w:snapToGrid w:val="0"/>
              </w:rPr>
              <w:t>选输项</w:t>
            </w:r>
          </w:p>
        </w:tc>
      </w:tr>
    </w:tbl>
    <w:p>
      <w:pPr>
        <w:rPr>
          <w:rFonts w:ascii="宋体" w:hAnsi="宋体"/>
        </w:rPr>
      </w:pPr>
      <w:r>
        <w:rPr>
          <w:rFonts w:ascii="宋体" w:hAnsi="宋体"/>
        </w:rPr>
        <w:drawing>
          <wp:inline distT="0" distB="0" distL="0" distR="0">
            <wp:extent cx="6124575" cy="4514850"/>
            <wp:effectExtent l="19050" t="0" r="9525" b="0"/>
            <wp:docPr id="233"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69"/>
                    <pic:cNvPicPr>
                      <a:picLocks noChangeAspect="1" noChangeArrowheads="1"/>
                    </pic:cNvPicPr>
                  </pic:nvPicPr>
                  <pic:blipFill>
                    <a:blip r:embed="rId16"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66"/>
        <w:gridCol w:w="1702"/>
        <w:gridCol w:w="1277"/>
        <w:gridCol w:w="1135"/>
        <w:gridCol w:w="1135"/>
        <w:gridCol w:w="852"/>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12" w:space="0"/>
              <w:left w:val="single" w:color="auto" w:sz="12" w:space="0"/>
              <w:bottom w:val="single" w:color="auto" w:sz="12" w:space="0"/>
              <w:right w:val="single" w:color="auto" w:sz="6" w:space="0"/>
            </w:tcBorders>
            <w:shd w:val="clear" w:color="auto" w:fill="FABF8F"/>
            <w:vAlign w:val="center"/>
          </w:tcPr>
          <w:p>
            <w:pPr>
              <w:ind w:right="-107" w:rightChars="-51"/>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6" w:space="0"/>
              <w:left w:val="single" w:color="auto" w:sz="12" w:space="0"/>
              <w:bottom w:val="single" w:color="auto" w:sz="6" w:space="0"/>
              <w:right w:val="single" w:color="auto" w:sz="6" w:space="0"/>
            </w:tcBorders>
            <w:vAlign w:val="center"/>
          </w:tcPr>
          <w:p>
            <w:pPr>
              <w:numPr>
                <w:ilvl w:val="0"/>
                <w:numId w:val="19"/>
              </w:numPr>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rPr>
            </w:pPr>
            <w:r>
              <w:rPr>
                <w:rFonts w:hint="eastAsia" w:ascii="宋体" w:hAnsi="宋体"/>
                <w:snapToGrid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6" w:space="0"/>
              <w:left w:val="single" w:color="auto" w:sz="12" w:space="0"/>
              <w:bottom w:val="single" w:color="auto" w:sz="6" w:space="0"/>
              <w:right w:val="single" w:color="auto" w:sz="6" w:space="0"/>
            </w:tcBorders>
            <w:vAlign w:val="center"/>
          </w:tcPr>
          <w:p>
            <w:pPr>
              <w:numPr>
                <w:ilvl w:val="0"/>
                <w:numId w:val="19"/>
              </w:numPr>
              <w:ind w:left="0" w:firstLine="0"/>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rPr>
            </w:pPr>
            <w:r>
              <w:rPr>
                <w:rFonts w:hint="eastAsia" w:ascii="宋体" w:hAnsi="宋体"/>
                <w:snapToGrid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6" w:space="0"/>
              <w:left w:val="single" w:color="auto" w:sz="12" w:space="0"/>
              <w:bottom w:val="single" w:color="auto" w:sz="6" w:space="0"/>
              <w:right w:val="single" w:color="auto" w:sz="6" w:space="0"/>
            </w:tcBorders>
            <w:vAlign w:val="center"/>
          </w:tcPr>
          <w:p>
            <w:pPr>
              <w:numPr>
                <w:ilvl w:val="0"/>
                <w:numId w:val="19"/>
              </w:numPr>
              <w:ind w:left="0" w:firstLine="0"/>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合同到期日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rPr>
            </w:pPr>
            <w:r>
              <w:rPr>
                <w:rFonts w:hint="eastAsia" w:ascii="宋体" w:hAnsi="宋体"/>
                <w:snapToGrid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6" w:space="0"/>
              <w:left w:val="single" w:color="auto" w:sz="12" w:space="0"/>
              <w:bottom w:val="single" w:color="auto" w:sz="6" w:space="0"/>
              <w:right w:val="single" w:color="auto" w:sz="6" w:space="0"/>
            </w:tcBorders>
            <w:vAlign w:val="center"/>
          </w:tcPr>
          <w:p>
            <w:pPr>
              <w:numPr>
                <w:ilvl w:val="0"/>
                <w:numId w:val="19"/>
              </w:numPr>
              <w:ind w:left="0" w:firstLine="0"/>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最高额合同</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rPr>
            </w:pPr>
            <w:r>
              <w:rPr>
                <w:rFonts w:hint="eastAsia" w:ascii="宋体" w:hAnsi="宋体"/>
                <w:snapToGrid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6" w:space="0"/>
              <w:left w:val="single" w:color="auto" w:sz="12" w:space="0"/>
              <w:bottom w:val="single" w:color="auto" w:sz="6" w:space="0"/>
              <w:right w:val="single" w:color="auto" w:sz="6" w:space="0"/>
            </w:tcBorders>
            <w:vAlign w:val="center"/>
          </w:tcPr>
          <w:p>
            <w:pPr>
              <w:numPr>
                <w:ilvl w:val="0"/>
                <w:numId w:val="19"/>
              </w:numPr>
              <w:ind w:left="0" w:firstLine="0"/>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担保品组状态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rPr>
            </w:pPr>
            <w:r>
              <w:rPr>
                <w:rFonts w:hint="eastAsia" w:ascii="宋体" w:hAnsi="宋体"/>
                <w:snapToGrid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6" w:space="0"/>
              <w:left w:val="single" w:color="auto" w:sz="12" w:space="0"/>
              <w:bottom w:val="single" w:color="auto" w:sz="6" w:space="0"/>
              <w:right w:val="single" w:color="auto" w:sz="6" w:space="0"/>
            </w:tcBorders>
            <w:vAlign w:val="center"/>
          </w:tcPr>
          <w:p>
            <w:pPr>
              <w:numPr>
                <w:ilvl w:val="0"/>
                <w:numId w:val="19"/>
              </w:numPr>
              <w:ind w:left="0" w:firstLine="0"/>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抵押评估价合计</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rPr>
            </w:pPr>
            <w:r>
              <w:rPr>
                <w:rFonts w:hint="eastAsia" w:ascii="宋体" w:hAnsi="宋体"/>
                <w:snapToGrid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6" w:space="0"/>
              <w:left w:val="single" w:color="auto" w:sz="12" w:space="0"/>
              <w:bottom w:val="single" w:color="auto" w:sz="6" w:space="0"/>
              <w:right w:val="single" w:color="auto" w:sz="6" w:space="0"/>
            </w:tcBorders>
            <w:vAlign w:val="center"/>
          </w:tcPr>
          <w:p>
            <w:pPr>
              <w:numPr>
                <w:ilvl w:val="0"/>
                <w:numId w:val="19"/>
              </w:numPr>
              <w:ind w:left="0" w:firstLine="0"/>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质押评估价合计</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rPr>
            </w:pPr>
            <w:r>
              <w:rPr>
                <w:rFonts w:hint="eastAsia" w:ascii="宋体" w:hAnsi="宋体"/>
                <w:snapToGrid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6" w:space="0"/>
              <w:left w:val="single" w:color="auto" w:sz="12" w:space="0"/>
              <w:bottom w:val="single" w:color="auto" w:sz="6" w:space="0"/>
              <w:right w:val="single" w:color="auto" w:sz="6" w:space="0"/>
            </w:tcBorders>
            <w:vAlign w:val="center"/>
          </w:tcPr>
          <w:p>
            <w:pPr>
              <w:numPr>
                <w:ilvl w:val="0"/>
                <w:numId w:val="19"/>
              </w:numPr>
              <w:ind w:left="0" w:firstLine="0"/>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担保金额合计</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rPr>
            </w:pPr>
            <w:r>
              <w:rPr>
                <w:rFonts w:hint="eastAsia" w:ascii="宋体" w:hAnsi="宋体"/>
                <w:snapToGrid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566" w:type="dxa"/>
            <w:tcBorders>
              <w:top w:val="single" w:color="auto" w:sz="6" w:space="0"/>
              <w:left w:val="single" w:color="auto" w:sz="12" w:space="0"/>
              <w:bottom w:val="single" w:color="auto" w:sz="12" w:space="0"/>
              <w:right w:val="single" w:color="auto" w:sz="6" w:space="0"/>
            </w:tcBorders>
            <w:vAlign w:val="center"/>
          </w:tcPr>
          <w:p>
            <w:pPr>
              <w:numPr>
                <w:ilvl w:val="0"/>
                <w:numId w:val="19"/>
              </w:numPr>
              <w:ind w:left="0" w:firstLine="0"/>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摘要</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列表选择：</w:t>
            </w:r>
          </w:p>
          <w:p>
            <w:pPr>
              <w:numPr>
                <w:ilvl w:val="0"/>
                <w:numId w:val="20"/>
              </w:numPr>
              <w:rPr>
                <w:rFonts w:ascii="宋体" w:hAnsi="宋体"/>
              </w:rPr>
            </w:pPr>
            <w:r>
              <w:rPr>
                <w:rFonts w:hint="eastAsia" w:ascii="宋体" w:hAnsi="宋体"/>
              </w:rPr>
              <w:t>贷款结清</w:t>
            </w:r>
          </w:p>
          <w:p>
            <w:pPr>
              <w:numPr>
                <w:ilvl w:val="0"/>
                <w:numId w:val="20"/>
              </w:numPr>
              <w:rPr>
                <w:rFonts w:ascii="宋体" w:hAnsi="宋体"/>
              </w:rPr>
            </w:pPr>
            <w:r>
              <w:rPr>
                <w:rFonts w:hint="eastAsia" w:ascii="宋体" w:hAnsi="宋体"/>
              </w:rPr>
              <w:t>担保品替换</w:t>
            </w:r>
          </w:p>
          <w:p>
            <w:pPr>
              <w:numPr>
                <w:ilvl w:val="0"/>
                <w:numId w:val="20"/>
              </w:numPr>
              <w:rPr>
                <w:rFonts w:ascii="宋体" w:hAnsi="宋体"/>
              </w:rPr>
            </w:pPr>
            <w:r>
              <w:rPr>
                <w:rFonts w:hint="eastAsia" w:ascii="宋体" w:hAnsi="宋体"/>
              </w:rPr>
              <w:t>担保品部分出库</w:t>
            </w:r>
          </w:p>
          <w:p>
            <w:pPr>
              <w:numPr>
                <w:ilvl w:val="0"/>
                <w:numId w:val="20"/>
              </w:numPr>
              <w:rPr>
                <w:rFonts w:ascii="宋体" w:hAnsi="宋体"/>
              </w:rPr>
            </w:pPr>
            <w:r>
              <w:rPr>
                <w:rFonts w:hint="eastAsia" w:ascii="宋体" w:hAnsi="宋体"/>
              </w:rPr>
              <w:t>收抵债物品</w:t>
            </w:r>
          </w:p>
          <w:p>
            <w:pPr>
              <w:numPr>
                <w:ilvl w:val="0"/>
                <w:numId w:val="20"/>
              </w:numPr>
              <w:rPr>
                <w:rFonts w:ascii="宋体" w:hAnsi="宋体"/>
              </w:rPr>
            </w:pPr>
            <w:r>
              <w:rPr>
                <w:rFonts w:hint="eastAsia" w:ascii="宋体" w:hAnsi="宋体"/>
              </w:rPr>
              <w:t>未用担保品出库</w:t>
            </w:r>
          </w:p>
          <w:p>
            <w:pPr>
              <w:numPr>
                <w:ilvl w:val="0"/>
                <w:numId w:val="20"/>
              </w:numPr>
              <w:rPr>
                <w:rFonts w:ascii="宋体" w:hAnsi="宋体"/>
              </w:rPr>
            </w:pPr>
            <w:r>
              <w:rPr>
                <w:rFonts w:hint="eastAsia" w:ascii="宋体" w:hAnsi="宋体"/>
              </w:rPr>
              <w:t>强制出库</w:t>
            </w:r>
          </w:p>
          <w:p>
            <w:pPr>
              <w:numPr>
                <w:ilvl w:val="0"/>
                <w:numId w:val="20"/>
              </w:numPr>
              <w:rPr>
                <w:rFonts w:ascii="宋体" w:hAnsi="宋体"/>
              </w:rPr>
            </w:pPr>
            <w:r>
              <w:rPr>
                <w:rFonts w:hint="eastAsia" w:ascii="宋体" w:hAnsi="宋体"/>
              </w:rPr>
              <w:t>其他</w:t>
            </w:r>
          </w:p>
        </w:tc>
      </w:tr>
    </w:tbl>
    <w:p>
      <w:pPr>
        <w:pStyle w:val="4"/>
        <w:numPr>
          <w:ilvl w:val="2"/>
          <w:numId w:val="4"/>
        </w:numPr>
        <w:ind w:left="422" w:hanging="422"/>
      </w:pPr>
      <w:bookmarkStart w:id="8" w:name="_Toc364694022"/>
      <w:r>
        <w:rPr>
          <w:rFonts w:hint="eastAsia"/>
        </w:rPr>
        <w:t>操作流程</w:t>
      </w:r>
      <w:bookmarkEnd w:id="8"/>
    </w:p>
    <w:p>
      <w:pPr>
        <w:numPr>
          <w:ilvl w:val="0"/>
          <w:numId w:val="21"/>
        </w:numPr>
        <w:ind w:firstLine="1"/>
        <w:rPr>
          <w:rFonts w:ascii="宋体" w:hAnsi="宋体"/>
          <w:kern w:val="0"/>
        </w:rPr>
      </w:pPr>
      <w:r>
        <w:rPr>
          <w:rFonts w:hint="eastAsia" w:ascii="宋体" w:hAnsi="宋体"/>
          <w:kern w:val="0"/>
        </w:rPr>
        <w:t>柜员根据业务需要启动担保品出库（690301）交易。</w:t>
      </w:r>
    </w:p>
    <w:p>
      <w:pPr>
        <w:numPr>
          <w:ilvl w:val="0"/>
          <w:numId w:val="21"/>
        </w:numPr>
        <w:tabs>
          <w:tab w:val="left" w:pos="840"/>
        </w:tabs>
        <w:ind w:left="0" w:firstLine="420"/>
        <w:rPr>
          <w:rFonts w:ascii="宋体" w:hAnsi="宋体"/>
          <w:kern w:val="0"/>
        </w:rPr>
      </w:pPr>
      <w:r>
        <w:rPr>
          <w:rFonts w:hint="eastAsia" w:ascii="宋体" w:hAnsi="宋体"/>
          <w:kern w:val="0"/>
        </w:rPr>
        <w:t>柜员输入担保品组号、担保品编号后提交，系统反显合同到期日、最高额合同等信息，然后柜员在摘要栏位选择出库种类提交，系统提示05级主管授权。</w:t>
      </w:r>
    </w:p>
    <w:p>
      <w:pPr>
        <w:numPr>
          <w:ilvl w:val="0"/>
          <w:numId w:val="21"/>
        </w:numPr>
        <w:tabs>
          <w:tab w:val="left" w:pos="840"/>
        </w:tabs>
        <w:ind w:left="0" w:firstLine="420"/>
        <w:rPr>
          <w:rFonts w:ascii="宋体" w:hAnsi="宋体"/>
          <w:kern w:val="0"/>
        </w:rPr>
      </w:pPr>
      <w:r>
        <w:rPr>
          <w:rFonts w:hint="eastAsia" w:ascii="宋体" w:hAnsi="宋体"/>
          <w:kern w:val="0"/>
        </w:rPr>
        <w:t>经授权成功后，柜员按系统提示打印两份担保品出库通知书，担保品性质为抵押、质押时还需打印表外付出传票。</w:t>
      </w:r>
    </w:p>
    <w:p>
      <w:pPr>
        <w:numPr>
          <w:ilvl w:val="0"/>
          <w:numId w:val="21"/>
        </w:numPr>
        <w:tabs>
          <w:tab w:val="left" w:pos="840"/>
        </w:tabs>
        <w:ind w:left="0" w:firstLine="420"/>
        <w:rPr>
          <w:rFonts w:ascii="宋体" w:hAnsi="宋体"/>
          <w:kern w:val="0"/>
        </w:rPr>
      </w:pPr>
      <w:r>
        <w:rPr>
          <w:rFonts w:hint="eastAsia" w:ascii="宋体" w:hAnsi="宋体"/>
          <w:kern w:val="0"/>
        </w:rPr>
        <w:t>打印完毕后，柜员在业务凭证上加盖业务讫章，将一份担保品出库通知书交客户，同时将另一份担保品出库通知书交信贷部门或与表外付出传票一并入传票管理。</w:t>
      </w:r>
    </w:p>
    <w:p>
      <w:pPr>
        <w:numPr>
          <w:ilvl w:val="0"/>
          <w:numId w:val="21"/>
        </w:numPr>
        <w:tabs>
          <w:tab w:val="left" w:pos="840"/>
        </w:tabs>
        <w:ind w:left="0" w:firstLine="420"/>
        <w:rPr>
          <w:rFonts w:ascii="宋体" w:hAnsi="宋体"/>
          <w:bCs/>
        </w:rPr>
      </w:pPr>
      <w:r>
        <w:rPr>
          <w:rFonts w:hint="eastAsia" w:ascii="宋体" w:hAnsi="宋体"/>
          <w:kern w:val="0"/>
        </w:rPr>
        <w:t>交易处理成功后，退出本交易</w:t>
      </w:r>
      <w:r>
        <w:rPr>
          <w:rFonts w:hint="eastAsia" w:ascii="宋体" w:hAnsi="宋体"/>
          <w:bCs/>
        </w:rPr>
        <w:t>。</w:t>
      </w:r>
    </w:p>
    <w:p>
      <w:pPr>
        <w:pStyle w:val="4"/>
        <w:numPr>
          <w:ilvl w:val="2"/>
          <w:numId w:val="4"/>
        </w:numPr>
        <w:ind w:left="422" w:hanging="422"/>
      </w:pPr>
      <w:bookmarkStart w:id="9" w:name="_Toc364694023"/>
      <w:r>
        <w:rPr>
          <w:rFonts w:hint="eastAsia"/>
        </w:rPr>
        <w:t>账务处理</w:t>
      </w:r>
      <w:bookmarkEnd w:id="9"/>
    </w:p>
    <w:p>
      <w:pPr>
        <w:spacing w:line="400" w:lineRule="exact"/>
        <w:ind w:firstLine="420" w:firstLineChars="200"/>
        <w:jc w:val="left"/>
        <w:rPr>
          <w:rFonts w:ascii="宋体" w:hAnsi="宋体"/>
          <w:bCs/>
        </w:rPr>
      </w:pPr>
      <w:r>
        <w:rPr>
          <w:rFonts w:hint="eastAsia" w:ascii="宋体" w:hAnsi="宋体"/>
          <w:bCs/>
        </w:rPr>
        <w:t>付:1060010抵押有价物品</w:t>
      </w:r>
    </w:p>
    <w:p>
      <w:pPr>
        <w:spacing w:line="400" w:lineRule="exact"/>
        <w:ind w:firstLine="735" w:firstLineChars="350"/>
        <w:jc w:val="left"/>
        <w:rPr>
          <w:rFonts w:ascii="宋体" w:hAnsi="宋体"/>
          <w:bCs/>
        </w:rPr>
      </w:pPr>
      <w:r>
        <w:rPr>
          <w:rFonts w:hint="eastAsia" w:ascii="宋体" w:hAnsi="宋体"/>
          <w:bCs/>
        </w:rPr>
        <w:t>或1060020质押有价物品</w:t>
      </w:r>
    </w:p>
    <w:p>
      <w:pPr>
        <w:pStyle w:val="4"/>
        <w:numPr>
          <w:ilvl w:val="2"/>
          <w:numId w:val="4"/>
        </w:numPr>
        <w:ind w:left="422" w:hanging="422"/>
      </w:pPr>
      <w:bookmarkStart w:id="10" w:name="_Toc364694024"/>
      <w:r>
        <w:rPr>
          <w:rFonts w:hint="eastAsia"/>
        </w:rPr>
        <w:t>注意事项</w:t>
      </w:r>
      <w:bookmarkEnd w:id="10"/>
    </w:p>
    <w:p>
      <w:pPr>
        <w:numPr>
          <w:ilvl w:val="0"/>
          <w:numId w:val="22"/>
        </w:numPr>
        <w:ind w:firstLine="1"/>
        <w:rPr>
          <w:rFonts w:ascii="宋体" w:hAnsi="宋体"/>
          <w:kern w:val="0"/>
        </w:rPr>
      </w:pPr>
      <w:r>
        <w:rPr>
          <w:rFonts w:hint="eastAsia" w:ascii="宋体" w:hAnsi="宋体"/>
          <w:kern w:val="0"/>
        </w:rPr>
        <w:t>该交易仅适用于未上信贷管理系统的机构。</w:t>
      </w:r>
    </w:p>
    <w:p>
      <w:pPr>
        <w:numPr>
          <w:ilvl w:val="0"/>
          <w:numId w:val="22"/>
        </w:numPr>
        <w:tabs>
          <w:tab w:val="left" w:pos="840"/>
        </w:tabs>
        <w:ind w:left="0" w:firstLine="420"/>
        <w:rPr>
          <w:rFonts w:ascii="宋体" w:hAnsi="宋体"/>
          <w:kern w:val="0"/>
        </w:rPr>
      </w:pPr>
      <w:r>
        <w:rPr>
          <w:rFonts w:hint="eastAsia" w:ascii="宋体" w:hAnsi="宋体"/>
          <w:kern w:val="0"/>
        </w:rPr>
        <w:t>担保品出库时，有关人员需根据担保合同仔细核对担保品实物，核对完毕，担保品实物退还客户。系统自动登记出库日期，出库时间，出库人员。</w:t>
      </w:r>
    </w:p>
    <w:p>
      <w:pPr>
        <w:numPr>
          <w:ilvl w:val="0"/>
          <w:numId w:val="22"/>
        </w:numPr>
        <w:tabs>
          <w:tab w:val="left" w:pos="840"/>
        </w:tabs>
        <w:ind w:left="0" w:firstLine="420"/>
        <w:rPr>
          <w:rFonts w:ascii="宋体" w:hAnsi="宋体"/>
          <w:kern w:val="0"/>
        </w:rPr>
      </w:pPr>
      <w:r>
        <w:rPr>
          <w:rFonts w:hint="eastAsia" w:ascii="宋体" w:hAnsi="宋体"/>
          <w:kern w:val="0"/>
        </w:rPr>
        <w:t>担保品出库后担保品状态改为出库。</w:t>
      </w:r>
    </w:p>
    <w:p>
      <w:pPr>
        <w:numPr>
          <w:ilvl w:val="0"/>
          <w:numId w:val="22"/>
        </w:numPr>
        <w:tabs>
          <w:tab w:val="left" w:pos="840"/>
        </w:tabs>
        <w:ind w:left="0" w:firstLine="420"/>
        <w:rPr>
          <w:rFonts w:ascii="宋体" w:hAnsi="宋体"/>
          <w:bCs/>
        </w:rPr>
      </w:pPr>
      <w:r>
        <w:rPr>
          <w:rFonts w:hint="eastAsia" w:ascii="宋体" w:hAnsi="宋体"/>
          <w:kern w:val="0"/>
        </w:rPr>
        <w:t>担保品出库时，系统自动检查担保品的可用金额，</w:t>
      </w:r>
      <w:r>
        <w:rPr>
          <w:rFonts w:hint="eastAsia" w:ascii="宋体" w:hAnsi="宋体"/>
          <w:b/>
          <w:kern w:val="0"/>
        </w:rPr>
        <w:t>当担保品的可用金额不小于担保金额时出库交易才能成功，否则系统提示担保品金额与担保金额不</w:t>
      </w:r>
      <w:r>
        <w:rPr>
          <w:rFonts w:hint="eastAsia" w:ascii="宋体" w:hAnsi="宋体"/>
          <w:kern w:val="0"/>
        </w:rPr>
        <w:t>符</w:t>
      </w:r>
      <w:r>
        <w:rPr>
          <w:rFonts w:hint="eastAsia" w:ascii="宋体" w:hAnsi="宋体"/>
          <w:bCs/>
        </w:rPr>
        <w:t>。</w:t>
      </w:r>
    </w:p>
    <w:p>
      <w:pPr>
        <w:pStyle w:val="3"/>
        <w:numPr>
          <w:ilvl w:val="1"/>
          <w:numId w:val="4"/>
        </w:numPr>
        <w:spacing w:after="0" w:line="240" w:lineRule="auto"/>
        <w:ind w:left="422" w:hanging="422"/>
      </w:pPr>
      <w:r>
        <w:rPr>
          <w:rFonts w:hint="eastAsia"/>
        </w:rPr>
        <w:t>担保品强制出库</w:t>
      </w:r>
    </w:p>
    <w:p>
      <w:pPr>
        <w:pStyle w:val="4"/>
        <w:numPr>
          <w:ilvl w:val="2"/>
          <w:numId w:val="4"/>
        </w:numPr>
        <w:ind w:left="422" w:hanging="422"/>
      </w:pPr>
      <w:bookmarkStart w:id="11" w:name="_Toc364694026"/>
      <w:r>
        <w:rPr>
          <w:rFonts w:hint="eastAsia"/>
        </w:rPr>
        <w:t>基本信息</w:t>
      </w:r>
      <w:bookmarkEnd w:id="11"/>
    </w:p>
    <w:tbl>
      <w:tblPr>
        <w:tblStyle w:val="49"/>
        <w:tblW w:w="8336" w:type="dxa"/>
        <w:tblInd w:w="9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2"/>
        <w:gridCol w:w="666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2"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64"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担保品强制出库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2"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692103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2"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cs="宋体"/>
              </w:rPr>
            </w:pPr>
            <w:r>
              <w:rPr>
                <w:rFonts w:hint="eastAsia" w:ascii="宋体" w:hAnsi="宋体"/>
                <w:bCs/>
              </w:rPr>
              <w:t>本交易用于正常情况下无法出库的担保品的强制出库</w:t>
            </w:r>
            <w:r>
              <w:rPr>
                <w:rFonts w:hint="eastAsia" w:ascii="宋体" w:hAnsi="宋体"/>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2"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2"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担保品业务管理维护角色柜员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2"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2"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06级主管柜员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2"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64"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担保品为抵/质押时，打印担保品出库通知书、表外付出传票；担保品为保证时不打印任何凭证。</w:t>
            </w:r>
          </w:p>
        </w:tc>
      </w:tr>
    </w:tbl>
    <w:p>
      <w:pPr>
        <w:pStyle w:val="4"/>
        <w:numPr>
          <w:ilvl w:val="2"/>
          <w:numId w:val="4"/>
        </w:numPr>
        <w:ind w:left="422" w:hanging="422"/>
      </w:pPr>
      <w:bookmarkStart w:id="12" w:name="_Toc364694027"/>
      <w:r>
        <w:rPr>
          <w:rFonts w:hint="eastAsia"/>
        </w:rPr>
        <w:t>操作界面及栏位说明</w:t>
      </w:r>
      <w:bookmarkEnd w:id="12"/>
    </w:p>
    <w:p>
      <w:pPr>
        <w:rPr>
          <w:rFonts w:ascii="宋体" w:hAnsi="宋体"/>
          <w:b/>
          <w:kern w:val="0"/>
        </w:rPr>
      </w:pPr>
      <w:r>
        <w:rPr>
          <w:rFonts w:hint="eastAsia" w:ascii="宋体" w:hAnsi="宋体"/>
          <w:b/>
          <w:kern w:val="0"/>
        </w:rPr>
        <w:t>操作界面1：</w:t>
      </w:r>
    </w:p>
    <w:p>
      <w:pPr>
        <w:rPr>
          <w:rFonts w:ascii="宋体" w:hAnsi="宋体"/>
          <w:b/>
        </w:rPr>
      </w:pPr>
      <w:r>
        <w:rPr>
          <w:rFonts w:ascii="宋体" w:hAnsi="宋体"/>
          <w:b/>
        </w:rPr>
        <w:drawing>
          <wp:inline distT="0" distB="0" distL="0" distR="0">
            <wp:extent cx="6124575" cy="4514850"/>
            <wp:effectExtent l="19050" t="0" r="9525" b="0"/>
            <wp:docPr id="234"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70"/>
                    <pic:cNvPicPr>
                      <a:picLocks noChangeAspect="1" noChangeArrowheads="1"/>
                    </pic:cNvPicPr>
                  </pic:nvPicPr>
                  <pic:blipFill>
                    <a:blip r:embed="rId17" cstate="print"/>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9"/>
        <w:gridCol w:w="1559"/>
        <w:gridCol w:w="1276"/>
        <w:gridCol w:w="1134"/>
        <w:gridCol w:w="1134"/>
        <w:gridCol w:w="851"/>
        <w:gridCol w:w="298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82"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12" w:space="0"/>
              <w:left w:val="single" w:color="auto" w:sz="12" w:space="0"/>
              <w:bottom w:val="single" w:color="auto" w:sz="6" w:space="0"/>
              <w:right w:val="single" w:color="auto" w:sz="6" w:space="0"/>
            </w:tcBorders>
            <w:vAlign w:val="center"/>
          </w:tcPr>
          <w:p>
            <w:pPr>
              <w:numPr>
                <w:ilvl w:val="0"/>
                <w:numId w:val="23"/>
              </w:numPr>
              <w:jc w:val="center"/>
              <w:rPr>
                <w:rFonts w:ascii="宋体" w:hAnsi="宋体"/>
                <w:b/>
              </w:rPr>
            </w:pPr>
          </w:p>
        </w:tc>
        <w:tc>
          <w:tcPr>
            <w:tcW w:w="1559"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982"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12" w:space="0"/>
              <w:right w:val="single" w:color="auto" w:sz="6" w:space="0"/>
            </w:tcBorders>
            <w:vAlign w:val="center"/>
          </w:tcPr>
          <w:p>
            <w:pPr>
              <w:numPr>
                <w:ilvl w:val="0"/>
                <w:numId w:val="23"/>
              </w:numPr>
              <w:jc w:val="center"/>
              <w:rPr>
                <w:rFonts w:ascii="宋体" w:hAnsi="宋体"/>
                <w:b/>
              </w:rPr>
            </w:pPr>
          </w:p>
        </w:tc>
        <w:tc>
          <w:tcPr>
            <w:tcW w:w="1559"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摘要</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982"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rPr>
            </w:pPr>
            <w:r>
              <w:rPr>
                <w:rFonts w:hint="eastAsia" w:ascii="宋体" w:hAnsi="宋体"/>
              </w:rPr>
              <w:t>系统反显</w:t>
            </w:r>
          </w:p>
        </w:tc>
      </w:tr>
    </w:tbl>
    <w:p>
      <w:pPr>
        <w:pStyle w:val="4"/>
        <w:numPr>
          <w:ilvl w:val="2"/>
          <w:numId w:val="4"/>
        </w:numPr>
        <w:ind w:left="422" w:hanging="422"/>
      </w:pPr>
      <w:bookmarkStart w:id="13" w:name="_Toc364694028"/>
      <w:r>
        <w:rPr>
          <w:rFonts w:hint="eastAsia"/>
        </w:rPr>
        <w:t>操作流程</w:t>
      </w:r>
      <w:bookmarkEnd w:id="13"/>
      <w:r>
        <w:rPr>
          <w:rFonts w:hint="eastAsia"/>
        </w:rPr>
        <w:t>：</w:t>
      </w:r>
    </w:p>
    <w:p>
      <w:pPr>
        <w:numPr>
          <w:ilvl w:val="0"/>
          <w:numId w:val="24"/>
        </w:numPr>
        <w:tabs>
          <w:tab w:val="left" w:pos="840"/>
        </w:tabs>
        <w:ind w:left="0" w:firstLine="420"/>
        <w:rPr>
          <w:rFonts w:ascii="宋体" w:hAnsi="宋体"/>
          <w:kern w:val="0"/>
        </w:rPr>
      </w:pPr>
      <w:r>
        <w:rPr>
          <w:rFonts w:hint="eastAsia" w:ascii="宋体" w:hAnsi="宋体"/>
          <w:kern w:val="0"/>
        </w:rPr>
        <w:t>柜员根据业务需要启动担保品强制出库（692103）交易。</w:t>
      </w:r>
    </w:p>
    <w:p>
      <w:pPr>
        <w:numPr>
          <w:ilvl w:val="0"/>
          <w:numId w:val="24"/>
        </w:numPr>
        <w:tabs>
          <w:tab w:val="left" w:pos="840"/>
        </w:tabs>
        <w:ind w:left="0" w:firstLine="420"/>
        <w:rPr>
          <w:rFonts w:ascii="宋体" w:hAnsi="宋体"/>
          <w:kern w:val="0"/>
        </w:rPr>
      </w:pPr>
      <w:r>
        <w:rPr>
          <w:rFonts w:hint="eastAsia" w:ascii="宋体" w:hAnsi="宋体"/>
          <w:kern w:val="0"/>
        </w:rPr>
        <w:t>柜员输入担保品组号，摘要等要素后点击提交按钮，系统自动反显摘要（默认为“5-强制出库”），提交后，系统提示06级主管柜员授权。</w:t>
      </w:r>
    </w:p>
    <w:p>
      <w:pPr>
        <w:numPr>
          <w:ilvl w:val="0"/>
          <w:numId w:val="24"/>
        </w:numPr>
        <w:tabs>
          <w:tab w:val="left" w:pos="840"/>
        </w:tabs>
        <w:ind w:left="0" w:firstLine="420"/>
        <w:rPr>
          <w:rFonts w:ascii="宋体" w:hAnsi="宋体"/>
          <w:kern w:val="0"/>
        </w:rPr>
      </w:pPr>
      <w:r>
        <w:rPr>
          <w:rFonts w:hint="eastAsia" w:ascii="宋体" w:hAnsi="宋体"/>
          <w:kern w:val="0"/>
        </w:rPr>
        <w:t>经授权成功后，若担保品性质为抵质押时柜员按系统提示打印表外付出传票、两份担保品出库通知书；若抵质押性质为保证时不打印任何凭证。</w:t>
      </w:r>
    </w:p>
    <w:p>
      <w:pPr>
        <w:numPr>
          <w:ilvl w:val="0"/>
          <w:numId w:val="24"/>
        </w:numPr>
        <w:tabs>
          <w:tab w:val="left" w:pos="840"/>
        </w:tabs>
        <w:ind w:left="0" w:firstLine="420"/>
        <w:rPr>
          <w:rFonts w:ascii="宋体" w:hAnsi="宋体"/>
          <w:kern w:val="0"/>
        </w:rPr>
      </w:pPr>
      <w:r>
        <w:rPr>
          <w:rFonts w:hint="eastAsia" w:ascii="宋体" w:hAnsi="宋体"/>
          <w:kern w:val="0"/>
        </w:rPr>
        <w:t>若担保品性质为抵质押时，系统打印完毕后，柜员在业务凭证上加盖业务讫章，将一份担保品出库通知书交客户，同时将另一份担保品出库通知书交信贷部门或与表外付出传票一并入传票管理。</w:t>
      </w:r>
    </w:p>
    <w:p>
      <w:pPr>
        <w:numPr>
          <w:ilvl w:val="0"/>
          <w:numId w:val="24"/>
        </w:numPr>
        <w:tabs>
          <w:tab w:val="left" w:pos="840"/>
        </w:tabs>
        <w:ind w:left="0" w:firstLine="420"/>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numPr>
          <w:ilvl w:val="0"/>
          <w:numId w:val="25"/>
        </w:numPr>
        <w:rPr>
          <w:rFonts w:ascii="宋体" w:hAnsi="宋体" w:cs="仿宋_GB2312"/>
          <w:kern w:val="0"/>
          <w:lang w:val="zh-CN"/>
        </w:rPr>
      </w:pPr>
      <w:r>
        <w:rPr>
          <w:rFonts w:hint="eastAsia" w:ascii="宋体" w:hAnsi="宋体" w:cs="仿宋_GB2312"/>
          <w:kern w:val="0"/>
          <w:lang w:val="zh-CN"/>
        </w:rPr>
        <w:t>该交易仅适用于未上信贷管理系统的机构。</w:t>
      </w:r>
    </w:p>
    <w:p>
      <w:pPr>
        <w:numPr>
          <w:ilvl w:val="0"/>
          <w:numId w:val="25"/>
        </w:numPr>
        <w:rPr>
          <w:rFonts w:ascii="宋体" w:hAnsi="宋体" w:cs="仿宋_GB2312"/>
          <w:kern w:val="0"/>
          <w:lang w:val="zh-CN"/>
        </w:rPr>
      </w:pPr>
      <w:r>
        <w:rPr>
          <w:rFonts w:hint="eastAsia" w:ascii="宋体" w:hAnsi="宋体"/>
          <w:kern w:val="0"/>
        </w:rPr>
        <w:t>当担保品在正常情况下无法出库但仍需出库时，柜员启动“692103担保品强制出库”交易，将担保品强行出库。</w:t>
      </w:r>
    </w:p>
    <w:p>
      <w:pPr>
        <w:pStyle w:val="4"/>
        <w:numPr>
          <w:ilvl w:val="2"/>
          <w:numId w:val="4"/>
        </w:numPr>
        <w:ind w:left="422" w:hanging="422"/>
      </w:pPr>
      <w:bookmarkStart w:id="14" w:name="_Toc364694029"/>
      <w:r>
        <w:rPr>
          <w:rFonts w:hint="eastAsia"/>
        </w:rPr>
        <w:t>账务处理</w:t>
      </w:r>
      <w:bookmarkEnd w:id="14"/>
    </w:p>
    <w:p>
      <w:pPr>
        <w:spacing w:line="400" w:lineRule="exact"/>
        <w:ind w:firstLine="420" w:firstLineChars="200"/>
        <w:jc w:val="left"/>
        <w:rPr>
          <w:rFonts w:ascii="宋体" w:hAnsi="宋体"/>
          <w:bCs/>
        </w:rPr>
      </w:pPr>
      <w:bookmarkStart w:id="15" w:name="_Toc364694031"/>
      <w:bookmarkStart w:id="16" w:name="_Toc333266081"/>
      <w:r>
        <w:rPr>
          <w:rFonts w:hint="eastAsia" w:ascii="宋体" w:hAnsi="宋体"/>
          <w:bCs/>
        </w:rPr>
        <w:t>付：1060010抵押有价物品</w:t>
      </w:r>
    </w:p>
    <w:p>
      <w:pPr>
        <w:spacing w:line="400" w:lineRule="exact"/>
        <w:ind w:firstLine="630" w:firstLineChars="300"/>
        <w:jc w:val="left"/>
        <w:rPr>
          <w:rFonts w:ascii="宋体" w:hAnsi="宋体"/>
          <w:bCs/>
        </w:rPr>
      </w:pPr>
      <w:r>
        <w:rPr>
          <w:rFonts w:hint="eastAsia" w:ascii="宋体" w:hAnsi="宋体"/>
          <w:bCs/>
        </w:rPr>
        <w:t>或1060020质押有价物品</w:t>
      </w:r>
    </w:p>
    <w:bookmarkEnd w:id="15"/>
    <w:p>
      <w:pPr>
        <w:pStyle w:val="3"/>
        <w:numPr>
          <w:ilvl w:val="1"/>
          <w:numId w:val="4"/>
        </w:numPr>
        <w:spacing w:after="0" w:line="240" w:lineRule="auto"/>
        <w:ind w:left="422" w:hanging="422"/>
      </w:pPr>
      <w:r>
        <w:rPr>
          <w:rFonts w:hint="eastAsia"/>
        </w:rPr>
        <w:t>担保品分类查询</w:t>
      </w:r>
    </w:p>
    <w:p>
      <w:pPr>
        <w:pStyle w:val="4"/>
        <w:numPr>
          <w:ilvl w:val="2"/>
          <w:numId w:val="4"/>
        </w:numPr>
        <w:ind w:left="422" w:hanging="422"/>
      </w:pPr>
      <w:bookmarkStart w:id="17" w:name="_Toc364694032"/>
      <w:r>
        <w:rPr>
          <w:rFonts w:hint="eastAsia"/>
        </w:rPr>
        <w:t>基本信息</w:t>
      </w:r>
      <w:bookmarkEnd w:id="17"/>
    </w:p>
    <w:tbl>
      <w:tblPr>
        <w:tblStyle w:val="49"/>
        <w:tblW w:w="8324"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0"/>
        <w:gridCol w:w="666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64"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担保品分类查询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690401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本交易用于担保品分类信息的查询。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担保品业务查询打印角色柜员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6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0"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64"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Ctrl+T快捷打印</w:t>
            </w:r>
          </w:p>
        </w:tc>
      </w:tr>
    </w:tbl>
    <w:p>
      <w:pPr>
        <w:pStyle w:val="4"/>
        <w:numPr>
          <w:ilvl w:val="2"/>
          <w:numId w:val="4"/>
        </w:numPr>
        <w:ind w:left="422" w:hanging="422"/>
      </w:pPr>
      <w:bookmarkStart w:id="18" w:name="_Toc364694033"/>
      <w:r>
        <w:rPr>
          <w:rFonts w:hint="eastAsia"/>
        </w:rPr>
        <w:t>操作界面及栏位说明</w:t>
      </w:r>
      <w:bookmarkEnd w:id="18"/>
    </w:p>
    <w:p>
      <w:pPr>
        <w:rPr>
          <w:rFonts w:ascii="宋体" w:hAnsi="宋体"/>
          <w:b/>
          <w:kern w:val="0"/>
        </w:rPr>
      </w:pPr>
      <w:r>
        <w:rPr>
          <w:rFonts w:hint="eastAsia" w:ascii="宋体" w:hAnsi="宋体"/>
          <w:b/>
          <w:kern w:val="0"/>
        </w:rPr>
        <w:t>操作界面1：</w:t>
      </w:r>
    </w:p>
    <w:p>
      <w:pPr>
        <w:rPr>
          <w:rFonts w:ascii="宋体" w:hAnsi="宋体"/>
          <w:b/>
          <w:kern w:val="0"/>
        </w:rPr>
      </w:pPr>
      <w:r>
        <w:rPr>
          <w:rFonts w:ascii="宋体" w:hAnsi="宋体"/>
          <w:b/>
          <w:kern w:val="0"/>
        </w:rPr>
        <w:drawing>
          <wp:inline distT="0" distB="0" distL="0" distR="0">
            <wp:extent cx="6124575" cy="4514850"/>
            <wp:effectExtent l="19050" t="0" r="9525" b="0"/>
            <wp:docPr id="235"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71"/>
                    <pic:cNvPicPr>
                      <a:picLocks noChangeAspect="1" noChangeArrowheads="1"/>
                    </pic:cNvPicPr>
                  </pic:nvPicPr>
                  <pic:blipFill>
                    <a:blip r:embed="rId18"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560"/>
        <w:gridCol w:w="1310"/>
        <w:gridCol w:w="1093"/>
        <w:gridCol w:w="1121"/>
        <w:gridCol w:w="938"/>
        <w:gridCol w:w="291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60"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10"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09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21"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38"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15"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6"/>
              </w:numPr>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机构代码</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默认本机构，上级可查询下级，必输项。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担保品性质</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列表框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列表选择：1-抵押2-质押3-保证。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cs="宋体"/>
              </w:rPr>
              <w:t>担保品状态</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列表框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kern w:val="0"/>
              </w:rPr>
              <w:t>列表选择：00-新建10-入库30-出库40-强制出库。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担保品种类</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输入</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列表框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cs="Courier New"/>
              </w:rPr>
            </w:pPr>
            <w:r>
              <w:rPr>
                <w:rFonts w:hint="eastAsia" w:ascii="宋体" w:hAnsi="宋体"/>
              </w:rPr>
              <w:t>列表选择：</w:t>
            </w:r>
            <w:r>
              <w:rPr>
                <w:rFonts w:hint="eastAsia" w:ascii="宋体" w:hAnsi="宋体" w:cs="Courier New"/>
              </w:rPr>
              <w:t>101- 房屋</w:t>
            </w:r>
          </w:p>
          <w:p>
            <w:pPr>
              <w:rPr>
                <w:rFonts w:ascii="宋体" w:hAnsi="宋体" w:cs="Courier New"/>
              </w:rPr>
            </w:pPr>
            <w:r>
              <w:rPr>
                <w:rFonts w:hint="eastAsia" w:ascii="宋体" w:hAnsi="宋体" w:cs="Courier New"/>
              </w:rPr>
              <w:t xml:space="preserve">102- 其他地上定着物 </w:t>
            </w:r>
          </w:p>
          <w:p>
            <w:pPr>
              <w:rPr>
                <w:rFonts w:ascii="宋体" w:hAnsi="宋体" w:cs="Courier New"/>
              </w:rPr>
            </w:pPr>
            <w:r>
              <w:rPr>
                <w:rFonts w:hint="eastAsia" w:ascii="宋体" w:hAnsi="宋体" w:cs="Courier New"/>
              </w:rPr>
              <w:t xml:space="preserve">103- 国有土地使用权   </w:t>
            </w:r>
          </w:p>
          <w:p>
            <w:pPr>
              <w:rPr>
                <w:rFonts w:ascii="宋体" w:hAnsi="宋体" w:cs="Courier New"/>
              </w:rPr>
            </w:pPr>
            <w:r>
              <w:rPr>
                <w:rFonts w:hint="eastAsia" w:ascii="宋体" w:hAnsi="宋体" w:cs="Courier New"/>
              </w:rPr>
              <w:t>104- 集体土地使用权</w:t>
            </w:r>
          </w:p>
          <w:p>
            <w:pPr>
              <w:rPr>
                <w:rFonts w:ascii="宋体" w:hAnsi="宋体" w:cs="Courier New"/>
              </w:rPr>
            </w:pPr>
            <w:r>
              <w:rPr>
                <w:rFonts w:hint="eastAsia" w:ascii="宋体" w:hAnsi="宋体" w:cs="Courier New"/>
              </w:rPr>
              <w:t>105- 机器设备</w:t>
            </w:r>
          </w:p>
          <w:p>
            <w:pPr>
              <w:rPr>
                <w:rFonts w:ascii="宋体" w:hAnsi="宋体" w:cs="Courier New"/>
              </w:rPr>
            </w:pPr>
            <w:r>
              <w:rPr>
                <w:rFonts w:hint="eastAsia" w:ascii="宋体" w:hAnsi="宋体" w:cs="Courier New"/>
              </w:rPr>
              <w:t xml:space="preserve">106- 交通运输工具 </w:t>
            </w:r>
          </w:p>
          <w:p>
            <w:pPr>
              <w:rPr>
                <w:rFonts w:ascii="宋体" w:hAnsi="宋体" w:cs="Courier New"/>
              </w:rPr>
            </w:pPr>
            <w:r>
              <w:rPr>
                <w:rFonts w:hint="eastAsia" w:ascii="宋体" w:hAnsi="宋体" w:cs="Courier New"/>
              </w:rPr>
              <w:t>108- 林木</w:t>
            </w:r>
          </w:p>
          <w:p>
            <w:pPr>
              <w:rPr>
                <w:rFonts w:ascii="宋体" w:hAnsi="宋体" w:cs="Courier New"/>
              </w:rPr>
            </w:pPr>
            <w:r>
              <w:rPr>
                <w:rFonts w:hint="eastAsia" w:ascii="宋体" w:hAnsi="宋体" w:cs="Courier New"/>
              </w:rPr>
              <w:t>109-其他财产</w:t>
            </w:r>
          </w:p>
          <w:p>
            <w:pPr>
              <w:rPr>
                <w:rFonts w:ascii="宋体" w:hAnsi="宋体" w:cs="Courier New"/>
              </w:rPr>
            </w:pPr>
            <w:r>
              <w:rPr>
                <w:rFonts w:hint="eastAsia" w:ascii="宋体" w:hAnsi="宋体" w:cs="Courier New"/>
              </w:rPr>
              <w:t xml:space="preserve">201- 存单 </w:t>
            </w:r>
          </w:p>
          <w:p>
            <w:pPr>
              <w:rPr>
                <w:rFonts w:ascii="宋体" w:hAnsi="宋体" w:cs="Courier New"/>
              </w:rPr>
            </w:pPr>
            <w:r>
              <w:rPr>
                <w:rFonts w:hint="eastAsia" w:ascii="宋体" w:hAnsi="宋体" w:cs="Courier New"/>
              </w:rPr>
              <w:t>202- 汇票</w:t>
            </w:r>
          </w:p>
          <w:p>
            <w:pPr>
              <w:rPr>
                <w:rFonts w:ascii="宋体" w:hAnsi="宋体" w:cs="Courier New"/>
              </w:rPr>
            </w:pPr>
            <w:r>
              <w:rPr>
                <w:rFonts w:hint="eastAsia" w:ascii="宋体" w:hAnsi="宋体" w:cs="Courier New"/>
              </w:rPr>
              <w:t xml:space="preserve">203- 本票 </w:t>
            </w:r>
          </w:p>
          <w:p>
            <w:pPr>
              <w:rPr>
                <w:rFonts w:ascii="宋体" w:hAnsi="宋体" w:cs="Courier New"/>
              </w:rPr>
            </w:pPr>
            <w:r>
              <w:rPr>
                <w:rFonts w:hint="eastAsia" w:ascii="宋体" w:hAnsi="宋体" w:cs="Courier New"/>
              </w:rPr>
              <w:t xml:space="preserve">204- 支票  </w:t>
            </w:r>
          </w:p>
          <w:p>
            <w:pPr>
              <w:rPr>
                <w:rFonts w:ascii="宋体" w:hAnsi="宋体" w:cs="Courier New"/>
              </w:rPr>
            </w:pPr>
            <w:r>
              <w:rPr>
                <w:rFonts w:hint="eastAsia" w:ascii="宋体" w:hAnsi="宋体" w:cs="Courier New"/>
              </w:rPr>
              <w:t xml:space="preserve">205- 债券              </w:t>
            </w:r>
          </w:p>
          <w:p>
            <w:pPr>
              <w:rPr>
                <w:rFonts w:ascii="宋体" w:hAnsi="宋体" w:cs="Courier New"/>
              </w:rPr>
            </w:pPr>
            <w:r>
              <w:rPr>
                <w:rFonts w:hint="eastAsia" w:ascii="宋体" w:hAnsi="宋体" w:cs="Courier New"/>
              </w:rPr>
              <w:t xml:space="preserve">206- 股票 </w:t>
            </w:r>
          </w:p>
          <w:p>
            <w:pPr>
              <w:rPr>
                <w:rFonts w:ascii="宋体" w:hAnsi="宋体" w:cs="Courier New"/>
              </w:rPr>
            </w:pPr>
            <w:r>
              <w:rPr>
                <w:rFonts w:hint="eastAsia" w:ascii="宋体" w:hAnsi="宋体" w:cs="Courier New"/>
              </w:rPr>
              <w:t>207- 股份</w:t>
            </w:r>
          </w:p>
          <w:p>
            <w:pPr>
              <w:rPr>
                <w:rFonts w:ascii="宋体" w:hAnsi="宋体" w:cs="Courier New"/>
              </w:rPr>
            </w:pPr>
            <w:r>
              <w:rPr>
                <w:rFonts w:hint="eastAsia" w:ascii="宋体" w:hAnsi="宋体" w:cs="Courier New"/>
              </w:rPr>
              <w:t xml:space="preserve">208- 仓单  </w:t>
            </w:r>
          </w:p>
          <w:p>
            <w:pPr>
              <w:rPr>
                <w:rFonts w:ascii="宋体" w:hAnsi="宋体" w:cs="Courier New"/>
              </w:rPr>
            </w:pPr>
            <w:r>
              <w:rPr>
                <w:rFonts w:hint="eastAsia" w:ascii="宋体" w:hAnsi="宋体" w:cs="Courier New"/>
              </w:rPr>
              <w:t>209- 提单</w:t>
            </w:r>
          </w:p>
          <w:p>
            <w:pPr>
              <w:rPr>
                <w:rFonts w:ascii="宋体" w:hAnsi="宋体" w:cs="Courier New"/>
              </w:rPr>
            </w:pPr>
            <w:r>
              <w:rPr>
                <w:rFonts w:hint="eastAsia" w:ascii="宋体" w:hAnsi="宋体" w:cs="Courier New"/>
              </w:rPr>
              <w:t>210- 商标专用权、专利权、著作权中的财产权</w:t>
            </w:r>
          </w:p>
          <w:p>
            <w:pPr>
              <w:rPr>
                <w:rFonts w:ascii="宋体" w:hAnsi="宋体" w:cs="Courier New"/>
              </w:rPr>
            </w:pPr>
            <w:r>
              <w:rPr>
                <w:rFonts w:hint="eastAsia" w:ascii="宋体" w:hAnsi="宋体" w:cs="Courier New"/>
              </w:rPr>
              <w:t>211- 他行存单</w:t>
            </w:r>
          </w:p>
          <w:p>
            <w:pPr>
              <w:rPr>
                <w:rFonts w:ascii="宋体" w:hAnsi="宋体"/>
                <w:snapToGrid w:val="0"/>
                <w:spacing w:val="14"/>
                <w:kern w:val="0"/>
              </w:rPr>
            </w:pPr>
            <w:r>
              <w:rPr>
                <w:rFonts w:hint="eastAsia" w:ascii="宋体" w:hAnsi="宋体" w:cs="Courier New"/>
              </w:rPr>
              <w:t>212-</w:t>
            </w:r>
            <w:r>
              <w:rPr>
                <w:rFonts w:hint="eastAsia" w:ascii="宋体" w:hAnsi="宋体"/>
              </w:rPr>
              <w:t xml:space="preserve"> 其他。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95"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建立柜员</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建立的柜员。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查询建立起日</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输入</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列表框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26"/>
              </w:numPr>
              <w:ind w:left="422" w:hanging="422"/>
              <w:jc w:val="center"/>
              <w:rPr>
                <w:rFonts w:ascii="宋体" w:hAnsi="宋体"/>
                <w:b/>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查询建立止日</w:t>
            </w:r>
          </w:p>
        </w:tc>
        <w:tc>
          <w:tcPr>
            <w:tcW w:w="131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0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列表框</w:t>
            </w:r>
          </w:p>
        </w:tc>
        <w:tc>
          <w:tcPr>
            <w:tcW w:w="112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938"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w:t>
            </w:r>
          </w:p>
        </w:tc>
      </w:tr>
    </w:tbl>
    <w:p>
      <w:pPr>
        <w:rPr>
          <w:rFonts w:ascii="宋体" w:hAnsi="宋体"/>
          <w:b/>
          <w:kern w:val="0"/>
        </w:rPr>
      </w:pPr>
      <w:r>
        <w:rPr>
          <w:rFonts w:hint="eastAsia" w:ascii="宋体" w:hAnsi="宋体"/>
          <w:b/>
          <w:kern w:val="0"/>
        </w:rPr>
        <w:t>操作界面2：</w:t>
      </w:r>
    </w:p>
    <w:p>
      <w:pPr>
        <w:rPr>
          <w:rFonts w:ascii="宋体" w:hAnsi="宋体"/>
          <w:b/>
          <w:kern w:val="0"/>
        </w:rPr>
      </w:pPr>
      <w:r>
        <w:rPr>
          <w:rFonts w:ascii="宋体" w:hAnsi="宋体"/>
          <w:b/>
          <w:kern w:val="0"/>
        </w:rPr>
        <w:drawing>
          <wp:inline distT="0" distB="0" distL="0" distR="0">
            <wp:extent cx="6115050" cy="5057775"/>
            <wp:effectExtent l="19050" t="0" r="0" b="0"/>
            <wp:docPr id="236"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72"/>
                    <pic:cNvPicPr>
                      <a:picLocks noChangeAspect="1" noChangeArrowheads="1"/>
                    </pic:cNvPicPr>
                  </pic:nvPicPr>
                  <pic:blipFill>
                    <a:blip r:embed="rId19" cstate="print"/>
                    <a:srcRect/>
                    <a:stretch>
                      <a:fillRect/>
                    </a:stretch>
                  </pic:blipFill>
                  <pic:spPr>
                    <a:xfrm>
                      <a:off x="0" y="0"/>
                      <a:ext cx="6115050" cy="505777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560"/>
        <w:gridCol w:w="1310"/>
        <w:gridCol w:w="1093"/>
        <w:gridCol w:w="1121"/>
        <w:gridCol w:w="938"/>
        <w:gridCol w:w="291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60"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10"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093"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21"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38" w:type="dxa"/>
            <w:tcBorders>
              <w:top w:val="single" w:color="auto" w:sz="12" w:space="0"/>
              <w:left w:val="single" w:color="auto" w:sz="6" w:space="0"/>
              <w:bottom w:val="single" w:color="auto" w:sz="6"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15" w:type="dxa"/>
            <w:tcBorders>
              <w:top w:val="single" w:color="auto" w:sz="12" w:space="0"/>
              <w:left w:val="single" w:color="auto" w:sz="6" w:space="0"/>
              <w:bottom w:val="single" w:color="auto" w:sz="6"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5"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担保品编号</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cs="宋体"/>
              </w:rPr>
              <w:t>性质</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状态</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担保品种类</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评估价</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担保金额</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币种</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评估日起</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评估机构</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评估机构组织机构代码</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备注</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客户号</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户名</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截止日期</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担保品号码</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建立机构</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建立柜员</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建立日期</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维护机构</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维护柜员</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维护日期</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入库机构</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入库柜员</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入库日期</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出库机构</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cs="宋体"/>
              </w:rPr>
            </w:pPr>
            <w:r>
              <w:rPr>
                <w:rFonts w:hint="eastAsia" w:ascii="宋体" w:hAnsi="宋体" w:cs="宋体"/>
              </w:rPr>
              <w:t>出库柜员</w:t>
            </w:r>
          </w:p>
        </w:tc>
        <w:tc>
          <w:tcPr>
            <w:tcW w:w="131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93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0" w:hRule="atLeast"/>
        </w:trPr>
        <w:tc>
          <w:tcPr>
            <w:tcW w:w="708" w:type="dxa"/>
            <w:tcBorders>
              <w:top w:val="single" w:color="auto" w:sz="6" w:space="0"/>
              <w:left w:val="single" w:color="auto" w:sz="12" w:space="0"/>
              <w:bottom w:val="single" w:color="auto" w:sz="12" w:space="0"/>
              <w:right w:val="single" w:color="auto" w:sz="6" w:space="0"/>
            </w:tcBorders>
            <w:vAlign w:val="center"/>
          </w:tcPr>
          <w:p>
            <w:pPr>
              <w:numPr>
                <w:ilvl w:val="0"/>
                <w:numId w:val="27"/>
              </w:numPr>
              <w:ind w:left="422" w:hanging="422"/>
              <w:jc w:val="center"/>
              <w:rPr>
                <w:rFonts w:ascii="宋体" w:hAnsi="宋体"/>
                <w:b/>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cs="宋体"/>
              </w:rPr>
            </w:pPr>
            <w:r>
              <w:rPr>
                <w:rFonts w:hint="eastAsia" w:ascii="宋体" w:hAnsi="宋体" w:cs="宋体"/>
              </w:rPr>
              <w:t>出库日期</w:t>
            </w:r>
          </w:p>
        </w:tc>
        <w:tc>
          <w:tcPr>
            <w:tcW w:w="131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0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rPr>
              <w:t>文本框</w:t>
            </w:r>
          </w:p>
        </w:tc>
        <w:tc>
          <w:tcPr>
            <w:tcW w:w="112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938"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915"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kern w:val="0"/>
              </w:rPr>
            </w:pPr>
            <w:r>
              <w:rPr>
                <w:rFonts w:hint="eastAsia" w:ascii="宋体" w:hAnsi="宋体"/>
              </w:rPr>
              <w:t>系统反显</w:t>
            </w:r>
          </w:p>
        </w:tc>
      </w:tr>
    </w:tbl>
    <w:p>
      <w:pPr>
        <w:pStyle w:val="4"/>
        <w:numPr>
          <w:ilvl w:val="2"/>
          <w:numId w:val="4"/>
        </w:numPr>
        <w:ind w:left="422" w:hanging="422"/>
      </w:pPr>
      <w:r>
        <w:rPr>
          <w:rFonts w:hint="eastAsia"/>
        </w:rPr>
        <w:t>操作流程</w:t>
      </w:r>
    </w:p>
    <w:p>
      <w:pPr>
        <w:numPr>
          <w:ilvl w:val="0"/>
          <w:numId w:val="28"/>
        </w:numPr>
        <w:tabs>
          <w:tab w:val="left" w:pos="840"/>
        </w:tabs>
        <w:ind w:left="0" w:firstLine="420"/>
        <w:rPr>
          <w:rFonts w:ascii="宋体" w:hAnsi="宋体"/>
          <w:kern w:val="0"/>
        </w:rPr>
      </w:pPr>
      <w:r>
        <w:rPr>
          <w:rFonts w:hint="eastAsia" w:ascii="宋体" w:hAnsi="宋体"/>
          <w:kern w:val="0"/>
        </w:rPr>
        <w:t>柜员根据业务需要启动担保品分类查询（690401）交易。</w:t>
      </w:r>
    </w:p>
    <w:p>
      <w:pPr>
        <w:numPr>
          <w:ilvl w:val="0"/>
          <w:numId w:val="28"/>
        </w:numPr>
        <w:tabs>
          <w:tab w:val="left" w:pos="840"/>
        </w:tabs>
        <w:ind w:left="0" w:firstLine="420"/>
        <w:rPr>
          <w:rFonts w:ascii="宋体" w:hAnsi="宋体"/>
          <w:kern w:val="0"/>
        </w:rPr>
      </w:pPr>
      <w:r>
        <w:rPr>
          <w:rFonts w:hint="eastAsia" w:ascii="宋体" w:hAnsi="宋体"/>
          <w:kern w:val="0"/>
        </w:rPr>
        <w:t>柜员输入机构代码、担保品性质、担保品状态、担保品种类、建立柜员、查询建立起日、查询建立止日等要素后点击查询按钮，系统自动反显符合条件的查询记录。</w:t>
      </w:r>
    </w:p>
    <w:p>
      <w:pPr>
        <w:numPr>
          <w:ilvl w:val="0"/>
          <w:numId w:val="28"/>
        </w:numPr>
        <w:tabs>
          <w:tab w:val="left" w:pos="840"/>
        </w:tabs>
        <w:ind w:left="0" w:firstLine="420"/>
        <w:rPr>
          <w:rFonts w:ascii="宋体" w:hAnsi="宋体"/>
          <w:kern w:val="0"/>
        </w:rPr>
      </w:pPr>
      <w:r>
        <w:rPr>
          <w:rFonts w:hint="eastAsia" w:ascii="宋体" w:hAnsi="宋体"/>
          <w:kern w:val="0"/>
        </w:rPr>
        <w:t>柜员用鼠标点击单笔输出记录，按“S”键显示该笔记录的担保品组号、担保品编号等信息。</w:t>
      </w:r>
    </w:p>
    <w:p>
      <w:pPr>
        <w:numPr>
          <w:ilvl w:val="0"/>
          <w:numId w:val="28"/>
        </w:numPr>
        <w:tabs>
          <w:tab w:val="left" w:pos="840"/>
        </w:tabs>
        <w:ind w:left="0" w:firstLine="420"/>
        <w:rPr>
          <w:rFonts w:ascii="宋体" w:hAnsi="宋体"/>
          <w:kern w:val="0"/>
        </w:rPr>
      </w:pPr>
      <w:r>
        <w:rPr>
          <w:rFonts w:hint="eastAsia" w:ascii="宋体" w:hAnsi="宋体"/>
          <w:kern w:val="0"/>
        </w:rPr>
        <w:t>交易处理成功后，退出本交易。</w:t>
      </w:r>
    </w:p>
    <w:p>
      <w:pPr>
        <w:pStyle w:val="4"/>
        <w:numPr>
          <w:ilvl w:val="2"/>
          <w:numId w:val="4"/>
        </w:numPr>
        <w:ind w:left="422" w:hanging="422"/>
      </w:pPr>
      <w:bookmarkStart w:id="19" w:name="_Toc364694035"/>
      <w:r>
        <w:rPr>
          <w:rFonts w:hint="eastAsia"/>
        </w:rPr>
        <w:t>注意事项</w:t>
      </w:r>
      <w:bookmarkEnd w:id="19"/>
    </w:p>
    <w:p>
      <w:pPr>
        <w:numPr>
          <w:ilvl w:val="0"/>
          <w:numId w:val="29"/>
        </w:numPr>
        <w:tabs>
          <w:tab w:val="left" w:pos="840"/>
        </w:tabs>
        <w:ind w:left="0" w:firstLine="420"/>
        <w:rPr>
          <w:rFonts w:ascii="宋体" w:hAnsi="宋体"/>
          <w:kern w:val="0"/>
        </w:rPr>
      </w:pPr>
      <w:r>
        <w:rPr>
          <w:rFonts w:hint="eastAsia" w:ascii="宋体" w:hAnsi="宋体"/>
          <w:kern w:val="0"/>
        </w:rPr>
        <w:t>柜员通过对担保品性质、状态、柜员、期间进行组合查询，可以查询出各组合条件下的担保品组号及组号下的各个担保品编号担保品的部分信息。</w:t>
      </w:r>
    </w:p>
    <w:p>
      <w:pPr>
        <w:numPr>
          <w:ilvl w:val="0"/>
          <w:numId w:val="29"/>
        </w:numPr>
        <w:tabs>
          <w:tab w:val="left" w:pos="840"/>
        </w:tabs>
        <w:ind w:left="0" w:firstLine="420"/>
        <w:rPr>
          <w:rFonts w:ascii="宋体" w:hAnsi="宋体" w:cs="宋体"/>
          <w:kern w:val="0"/>
          <w:lang w:val="zh-CN"/>
        </w:rPr>
      </w:pPr>
      <w:r>
        <w:rPr>
          <w:rFonts w:hint="eastAsia" w:ascii="宋体" w:hAnsi="宋体" w:cs="宋体"/>
          <w:kern w:val="0"/>
          <w:lang w:val="zh-CN"/>
        </w:rPr>
        <w:t>柜员可根据需要按“Ctrl+T”</w:t>
      </w:r>
      <w:r>
        <w:rPr>
          <w:rFonts w:hint="eastAsia" w:ascii="宋体" w:hAnsi="宋体" w:cs="宋体"/>
          <w:kern w:val="0"/>
        </w:rPr>
        <w:t>键选择打印机进行打印，其中打印项可灵活勾选确认。</w:t>
      </w:r>
    </w:p>
    <w:bookmarkEnd w:id="16"/>
    <w:p>
      <w:pPr>
        <w:pStyle w:val="3"/>
        <w:numPr>
          <w:ilvl w:val="1"/>
          <w:numId w:val="4"/>
        </w:numPr>
        <w:spacing w:after="0" w:line="240" w:lineRule="auto"/>
        <w:ind w:left="422" w:hanging="422"/>
      </w:pPr>
      <w:r>
        <w:rPr>
          <w:rFonts w:hint="eastAsia"/>
        </w:rPr>
        <w:t>担保品明细查询</w:t>
      </w:r>
    </w:p>
    <w:p>
      <w:pPr>
        <w:pStyle w:val="4"/>
        <w:numPr>
          <w:ilvl w:val="2"/>
          <w:numId w:val="4"/>
        </w:numPr>
        <w:ind w:left="422" w:hanging="422"/>
      </w:pPr>
      <w:bookmarkStart w:id="20" w:name="_Toc364694038"/>
      <w:r>
        <w:rPr>
          <w:rFonts w:hint="eastAsia"/>
        </w:rPr>
        <w:t>基本信息</w:t>
      </w:r>
      <w:bookmarkEnd w:id="20"/>
    </w:p>
    <w:tbl>
      <w:tblPr>
        <w:tblStyle w:val="49"/>
        <w:tblW w:w="832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担保品明细查询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690501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本交易用于担保品交易明细的查询。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担保品业务查询打印角色柜员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Ctrl+T快捷打印</w:t>
            </w:r>
          </w:p>
        </w:tc>
      </w:tr>
    </w:tbl>
    <w:p>
      <w:pPr>
        <w:pStyle w:val="4"/>
        <w:numPr>
          <w:ilvl w:val="2"/>
          <w:numId w:val="4"/>
        </w:numPr>
        <w:ind w:left="422" w:hanging="422"/>
      </w:pPr>
      <w:bookmarkStart w:id="21" w:name="_Toc364694039"/>
      <w:r>
        <w:rPr>
          <w:rFonts w:hint="eastAsia"/>
        </w:rPr>
        <w:t>操作界面及栏位说明</w:t>
      </w:r>
      <w:bookmarkEnd w:id="21"/>
    </w:p>
    <w:p>
      <w:pPr>
        <w:rPr>
          <w:rFonts w:ascii="宋体" w:hAnsi="宋体"/>
          <w:b/>
          <w:kern w:val="0"/>
        </w:rPr>
      </w:pPr>
      <w:r>
        <w:rPr>
          <w:rFonts w:hint="eastAsia" w:ascii="宋体" w:hAnsi="宋体"/>
          <w:b/>
          <w:kern w:val="0"/>
        </w:rPr>
        <w:t>操作界面1：</w:t>
      </w:r>
    </w:p>
    <w:p>
      <w:pPr>
        <w:rPr>
          <w:rFonts w:ascii="宋体" w:hAnsi="宋体"/>
          <w:b/>
          <w:kern w:val="0"/>
        </w:rPr>
      </w:pPr>
      <w:r>
        <w:rPr>
          <w:rFonts w:ascii="宋体" w:hAnsi="宋体"/>
          <w:b/>
          <w:kern w:val="0"/>
        </w:rPr>
        <w:drawing>
          <wp:inline distT="0" distB="0" distL="0" distR="0">
            <wp:extent cx="6124575" cy="4514850"/>
            <wp:effectExtent l="19050" t="0" r="9525" b="0"/>
            <wp:docPr id="237"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73"/>
                    <pic:cNvPicPr>
                      <a:picLocks noChangeAspect="1" noChangeArrowheads="1"/>
                    </pic:cNvPicPr>
                  </pic:nvPicPr>
                  <pic:blipFill>
                    <a:blip r:embed="rId20" cstate="print"/>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kern w:val="0"/>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30"/>
              </w:numPr>
              <w:jc w:val="center"/>
              <w:rPr>
                <w:rFonts w:ascii="宋体" w:hAnsi="宋体"/>
                <w:b/>
              </w:rPr>
            </w:pPr>
          </w:p>
        </w:tc>
        <w:tc>
          <w:tcPr>
            <w:tcW w:w="1560"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必输项，默认为本机构，上级可以查询下级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最高额合同</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担保合同编号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合同到期日</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8" w:space="0"/>
              <w:right w:val="single" w:color="auto" w:sz="6" w:space="0"/>
            </w:tcBorders>
            <w:vAlign w:val="center"/>
          </w:tcPr>
          <w:p>
            <w:pPr>
              <w:numPr>
                <w:ilvl w:val="0"/>
                <w:numId w:val="30"/>
              </w:numPr>
              <w:ind w:left="422" w:hanging="422"/>
              <w:jc w:val="center"/>
              <w:rPr>
                <w:rFonts w:ascii="宋体" w:hAnsi="宋体"/>
                <w:b/>
              </w:rPr>
            </w:pPr>
          </w:p>
        </w:tc>
        <w:tc>
          <w:tcPr>
            <w:tcW w:w="1560" w:type="dxa"/>
            <w:tcBorders>
              <w:top w:val="single" w:color="auto" w:sz="6" w:space="0"/>
              <w:left w:val="single" w:color="auto" w:sz="6" w:space="0"/>
              <w:bottom w:val="single" w:color="auto" w:sz="8" w:space="0"/>
              <w:right w:val="single" w:color="auto" w:sz="6" w:space="0"/>
            </w:tcBorders>
            <w:vAlign w:val="center"/>
          </w:tcPr>
          <w:p>
            <w:pPr>
              <w:rPr>
                <w:rFonts w:ascii="宋体" w:hAnsi="宋体"/>
                <w:spacing w:val="16"/>
              </w:rPr>
            </w:pPr>
            <w:r>
              <w:rPr>
                <w:rFonts w:hint="eastAsia" w:ascii="宋体" w:hAnsi="宋体"/>
              </w:rPr>
              <w:t>担保总金额</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8"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560" w:type="dxa"/>
            <w:tcBorders>
              <w:top w:val="single" w:color="auto" w:sz="8"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可用担保金额</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0"/>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30"/>
              </w:numPr>
              <w:ind w:left="422" w:hanging="422"/>
              <w:jc w:val="center"/>
              <w:rPr>
                <w:rFonts w:ascii="宋体" w:hAnsi="宋体"/>
                <w:b/>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建立日期</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rPr>
          <w:rFonts w:ascii="宋体" w:hAnsi="宋体"/>
          <w:b/>
          <w:kern w:val="0"/>
        </w:rPr>
      </w:pPr>
      <w:r>
        <w:rPr>
          <w:rFonts w:hint="eastAsia" w:ascii="宋体" w:hAnsi="宋体"/>
          <w:b/>
          <w:kern w:val="0"/>
        </w:rPr>
        <w:t>操作界面2：</w:t>
      </w:r>
    </w:p>
    <w:p>
      <w:pPr>
        <w:rPr>
          <w:rFonts w:ascii="宋体" w:hAnsi="宋体"/>
        </w:rPr>
      </w:pPr>
      <w:r>
        <w:rPr>
          <w:rFonts w:ascii="宋体" w:hAnsi="宋体"/>
        </w:rPr>
        <w:drawing>
          <wp:inline distT="0" distB="0" distL="0" distR="0">
            <wp:extent cx="6115050" cy="5343525"/>
            <wp:effectExtent l="19050" t="0" r="0" b="0"/>
            <wp:docPr id="238"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74"/>
                    <pic:cNvPicPr>
                      <a:picLocks noChangeAspect="1" noChangeArrowheads="1"/>
                    </pic:cNvPicPr>
                  </pic:nvPicPr>
                  <pic:blipFill>
                    <a:blip r:embed="rId21" cstate="print"/>
                    <a:srcRect/>
                    <a:stretch>
                      <a:fillRect/>
                    </a:stretch>
                  </pic:blipFill>
                  <pic:spPr>
                    <a:xfrm>
                      <a:off x="0" y="0"/>
                      <a:ext cx="6115050" cy="5343525"/>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栏位说明2：</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31"/>
              </w:numPr>
              <w:jc w:val="center"/>
              <w:rPr>
                <w:rFonts w:ascii="宋体" w:hAnsi="宋体"/>
                <w:b/>
              </w:rPr>
            </w:pPr>
          </w:p>
        </w:tc>
        <w:tc>
          <w:tcPr>
            <w:tcW w:w="1560"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最高额合同</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合同到期日</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担保总金额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8"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8" w:space="0"/>
              <w:right w:val="single" w:color="auto" w:sz="6" w:space="0"/>
            </w:tcBorders>
            <w:vAlign w:val="center"/>
          </w:tcPr>
          <w:p>
            <w:pPr>
              <w:rPr>
                <w:rFonts w:ascii="宋体" w:hAnsi="宋体"/>
                <w:spacing w:val="16"/>
              </w:rPr>
            </w:pPr>
            <w:r>
              <w:rPr>
                <w:rFonts w:hint="eastAsia" w:ascii="宋体" w:hAnsi="宋体"/>
              </w:rPr>
              <w:t>可用担保金额</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8"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8"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担保品组状态</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建立日期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担保品性质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入库日期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出库日期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入库柜员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出库柜员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客户名称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31"/>
              </w:numPr>
              <w:ind w:left="422" w:hanging="422"/>
              <w:jc w:val="center"/>
              <w:rPr>
                <w:rFonts w:ascii="宋体" w:hAnsi="宋体"/>
                <w:b/>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4"/>
        <w:numPr>
          <w:ilvl w:val="2"/>
          <w:numId w:val="4"/>
        </w:numPr>
        <w:ind w:left="422" w:hanging="422"/>
      </w:pPr>
      <w:r>
        <w:rPr>
          <w:rFonts w:hint="eastAsia"/>
        </w:rPr>
        <w:t xml:space="preserve"> 操作流程</w:t>
      </w:r>
    </w:p>
    <w:p>
      <w:pPr>
        <w:numPr>
          <w:ilvl w:val="0"/>
          <w:numId w:val="32"/>
        </w:numPr>
        <w:tabs>
          <w:tab w:val="left" w:pos="840"/>
        </w:tabs>
        <w:ind w:left="0" w:firstLine="420"/>
        <w:rPr>
          <w:rFonts w:ascii="宋体" w:hAnsi="宋体"/>
          <w:kern w:val="0"/>
        </w:rPr>
      </w:pPr>
      <w:r>
        <w:rPr>
          <w:rFonts w:hint="eastAsia" w:ascii="宋体" w:hAnsi="宋体"/>
          <w:kern w:val="0"/>
        </w:rPr>
        <w:t>柜员根据业务需要启动担保品明细查询（690501）交易。</w:t>
      </w:r>
    </w:p>
    <w:p>
      <w:pPr>
        <w:numPr>
          <w:ilvl w:val="0"/>
          <w:numId w:val="32"/>
        </w:numPr>
        <w:tabs>
          <w:tab w:val="left" w:pos="840"/>
        </w:tabs>
        <w:ind w:left="0" w:firstLine="420"/>
        <w:rPr>
          <w:rFonts w:ascii="宋体" w:hAnsi="宋体"/>
          <w:kern w:val="0"/>
        </w:rPr>
      </w:pPr>
      <w:r>
        <w:rPr>
          <w:rFonts w:hint="eastAsia" w:ascii="宋体" w:hAnsi="宋体"/>
          <w:kern w:val="0"/>
        </w:rPr>
        <w:t>柜员输入担保品组号提交，系统自动显示该担保品组号下的担保明细。</w:t>
      </w:r>
    </w:p>
    <w:p>
      <w:pPr>
        <w:numPr>
          <w:ilvl w:val="0"/>
          <w:numId w:val="32"/>
        </w:numPr>
        <w:tabs>
          <w:tab w:val="left" w:pos="840"/>
        </w:tabs>
        <w:ind w:left="0" w:firstLine="420"/>
        <w:rPr>
          <w:rFonts w:ascii="宋体" w:hAnsi="宋体"/>
          <w:kern w:val="0"/>
        </w:rPr>
      </w:pPr>
      <w:r>
        <w:rPr>
          <w:rFonts w:hint="eastAsia" w:ascii="宋体" w:hAnsi="宋体"/>
          <w:kern w:val="0"/>
        </w:rPr>
        <w:t>柜员用鼠标选中单笔记录，按“S”键显示该笔记录的担保品组号、最高额合同等信息。</w:t>
      </w:r>
    </w:p>
    <w:p>
      <w:pPr>
        <w:numPr>
          <w:ilvl w:val="0"/>
          <w:numId w:val="32"/>
        </w:numPr>
        <w:tabs>
          <w:tab w:val="left" w:pos="840"/>
        </w:tabs>
        <w:ind w:left="0" w:firstLine="420"/>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autoSpaceDE w:val="0"/>
        <w:autoSpaceDN w:val="0"/>
        <w:adjustRightInd w:val="0"/>
        <w:ind w:firstLine="420" w:firstLineChars="200"/>
        <w:jc w:val="left"/>
        <w:rPr>
          <w:rFonts w:ascii="宋体" w:hAnsi="宋体" w:cs="宋体"/>
          <w:kern w:val="0"/>
          <w:lang w:val="zh-CN"/>
        </w:rPr>
      </w:pPr>
      <w:r>
        <w:rPr>
          <w:rFonts w:hint="eastAsia" w:ascii="宋体" w:hAnsi="宋体" w:cs="宋体"/>
          <w:kern w:val="0"/>
          <w:lang w:val="zh-CN"/>
        </w:rPr>
        <w:t>1. 柜员可根据需要按“Ctrl+T”键选择打印机进行打印，其中打印项可灵活勾选确认。</w:t>
      </w:r>
    </w:p>
    <w:p>
      <w:pPr>
        <w:pStyle w:val="4"/>
        <w:numPr>
          <w:ilvl w:val="2"/>
          <w:numId w:val="4"/>
        </w:numPr>
        <w:ind w:left="422" w:hanging="422"/>
      </w:pPr>
      <w:r>
        <w:rPr>
          <w:rFonts w:hint="eastAsia"/>
        </w:rPr>
        <w:t>业务规则</w:t>
      </w:r>
    </w:p>
    <w:p>
      <w:pPr>
        <w:pStyle w:val="78"/>
        <w:numPr>
          <w:ilvl w:val="0"/>
          <w:numId w:val="33"/>
        </w:numPr>
        <w:ind w:firstLineChars="0"/>
      </w:pPr>
      <w:r>
        <w:rPr>
          <w:rFonts w:hint="eastAsia"/>
        </w:rPr>
        <w:t>贷款结清后，可用担保金额实时恢复。</w:t>
      </w:r>
    </w:p>
    <w:p>
      <w:pPr>
        <w:autoSpaceDE w:val="0"/>
        <w:autoSpaceDN w:val="0"/>
        <w:adjustRightInd w:val="0"/>
        <w:ind w:firstLine="420" w:firstLineChars="200"/>
        <w:jc w:val="left"/>
        <w:rPr>
          <w:rFonts w:ascii="宋体" w:hAnsi="宋体" w:cs="宋体"/>
          <w:kern w:val="0"/>
          <w:lang w:val="zh-CN"/>
        </w:rPr>
      </w:pPr>
    </w:p>
    <w:p>
      <w:pPr>
        <w:pStyle w:val="3"/>
        <w:numPr>
          <w:ilvl w:val="1"/>
          <w:numId w:val="4"/>
        </w:numPr>
        <w:spacing w:after="0" w:line="240" w:lineRule="auto"/>
        <w:ind w:left="422" w:hanging="422"/>
      </w:pPr>
      <w:r>
        <w:rPr>
          <w:rFonts w:hint="eastAsia"/>
        </w:rPr>
        <w:t>担保品担保明细查询</w:t>
      </w:r>
    </w:p>
    <w:p>
      <w:pPr>
        <w:pStyle w:val="4"/>
        <w:numPr>
          <w:ilvl w:val="2"/>
          <w:numId w:val="4"/>
        </w:numPr>
        <w:ind w:left="422" w:hanging="422"/>
      </w:pPr>
      <w:bookmarkStart w:id="22" w:name="_Toc364694044"/>
      <w:r>
        <w:rPr>
          <w:rFonts w:hint="eastAsia"/>
        </w:rPr>
        <w:t>基本信息</w:t>
      </w:r>
      <w:bookmarkEnd w:id="22"/>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担保品担保明细查询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690601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本交易用于担保品担保明细的查询。（查询为哪些贷款进行担保）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担保品业务查询打印角色柜员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Ctrl+T快捷打印</w:t>
            </w:r>
          </w:p>
        </w:tc>
      </w:tr>
    </w:tbl>
    <w:p>
      <w:pPr>
        <w:pStyle w:val="4"/>
        <w:numPr>
          <w:ilvl w:val="2"/>
          <w:numId w:val="4"/>
        </w:numPr>
        <w:ind w:left="422" w:hanging="422"/>
      </w:pPr>
      <w:bookmarkStart w:id="23" w:name="_Toc364694045"/>
      <w:r>
        <w:rPr>
          <w:rFonts w:hint="eastAsia"/>
        </w:rPr>
        <w:t>操作界面及栏位说明</w:t>
      </w:r>
      <w:bookmarkEnd w:id="23"/>
    </w:p>
    <w:p>
      <w:pPr>
        <w:rPr>
          <w:rFonts w:ascii="宋体" w:hAnsi="宋体"/>
          <w:b/>
          <w:kern w:val="0"/>
        </w:rPr>
      </w:pPr>
      <w:r>
        <w:rPr>
          <w:rFonts w:hint="eastAsia" w:ascii="宋体" w:hAnsi="宋体"/>
          <w:b/>
          <w:kern w:val="0"/>
        </w:rPr>
        <w:t>操作界面1：</w:t>
      </w:r>
    </w:p>
    <w:p>
      <w:pPr>
        <w:rPr>
          <w:rFonts w:ascii="宋体" w:hAnsi="宋体"/>
          <w:b/>
          <w:kern w:val="0"/>
        </w:rPr>
      </w:pPr>
      <w:r>
        <w:rPr>
          <w:rFonts w:ascii="宋体" w:hAnsi="宋体"/>
          <w:b/>
          <w:kern w:val="0"/>
        </w:rPr>
        <w:drawing>
          <wp:inline distT="0" distB="0" distL="0" distR="0">
            <wp:extent cx="6124575" cy="4514850"/>
            <wp:effectExtent l="19050" t="0" r="9525" b="0"/>
            <wp:docPr id="239"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75"/>
                    <pic:cNvPicPr>
                      <a:picLocks noChangeAspect="1" noChangeArrowheads="1"/>
                    </pic:cNvPicPr>
                  </pic:nvPicPr>
                  <pic:blipFill>
                    <a:blip r:embed="rId22"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277"/>
        <w:gridCol w:w="1135"/>
        <w:gridCol w:w="1135"/>
        <w:gridCol w:w="851"/>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34"/>
              </w:numPr>
              <w:jc w:val="center"/>
              <w:rPr>
                <w:rFonts w:ascii="宋体" w:hAnsi="宋体"/>
                <w:b/>
              </w:rPr>
            </w:pPr>
          </w:p>
        </w:tc>
        <w:tc>
          <w:tcPr>
            <w:tcW w:w="1560"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担保品组号与帐号或编号栏位二者输其一</w:t>
            </w:r>
            <w:r>
              <w:rPr>
                <w:rFonts w:hint="eastAsia" w:ascii="宋体" w:hAnsi="宋体"/>
                <w:snapToGrid w:val="0"/>
                <w:kern w:val="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34"/>
              </w:numPr>
              <w:ind w:left="422" w:hanging="422"/>
              <w:jc w:val="center"/>
              <w:rPr>
                <w:rFonts w:ascii="宋体" w:hAnsi="宋体"/>
                <w:b/>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snapToGrid w:val="0"/>
                <w:kern w:val="0"/>
              </w:rPr>
            </w:pPr>
            <w:r>
              <w:rPr>
                <w:rFonts w:hint="eastAsia" w:ascii="宋体" w:hAnsi="宋体"/>
                <w:snapToGrid w:val="0"/>
                <w:kern w:val="0"/>
              </w:rPr>
              <w:t>账号或编号</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spacing w:val="14"/>
                <w:kern w:val="0"/>
              </w:rPr>
            </w:pPr>
            <w:r>
              <w:rPr>
                <w:rFonts w:hint="eastAsia" w:ascii="宋体" w:hAnsi="宋体"/>
              </w:rPr>
              <w:t>担保品组号与帐号或编号栏位二者输其一</w:t>
            </w:r>
            <w:r>
              <w:rPr>
                <w:rFonts w:hint="eastAsia" w:ascii="宋体" w:hAnsi="宋体"/>
                <w:snapToGrid w:val="0"/>
                <w:kern w:val="0"/>
              </w:rPr>
              <w:t>。</w:t>
            </w:r>
          </w:p>
        </w:tc>
      </w:tr>
    </w:tbl>
    <w:p>
      <w:pPr>
        <w:rPr>
          <w:rFonts w:ascii="宋体" w:hAnsi="宋体"/>
          <w:b/>
        </w:rPr>
      </w:pPr>
      <w:r>
        <w:rPr>
          <w:rFonts w:hint="eastAsia" w:ascii="宋体" w:hAnsi="宋体"/>
          <w:b/>
        </w:rPr>
        <w:t>操作界面2：</w:t>
      </w:r>
    </w:p>
    <w:p>
      <w:pPr>
        <w:rPr>
          <w:rFonts w:ascii="宋体" w:hAnsi="宋体"/>
        </w:rPr>
      </w:pPr>
      <w:r>
        <w:rPr>
          <w:rFonts w:ascii="宋体" w:hAnsi="宋体"/>
        </w:rPr>
        <w:drawing>
          <wp:inline distT="0" distB="0" distL="0" distR="0">
            <wp:extent cx="6115050" cy="1323975"/>
            <wp:effectExtent l="19050" t="0" r="0" b="0"/>
            <wp:docPr id="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
                    <pic:cNvPicPr>
                      <a:picLocks noChangeAspect="1" noChangeArrowheads="1"/>
                    </pic:cNvPicPr>
                  </pic:nvPicPr>
                  <pic:blipFill>
                    <a:blip r:embed="rId23" cstate="print"/>
                    <a:srcRect/>
                    <a:stretch>
                      <a:fillRect/>
                    </a:stretch>
                  </pic:blipFill>
                  <pic:spPr>
                    <a:xfrm>
                      <a:off x="0" y="0"/>
                      <a:ext cx="6115050" cy="1323975"/>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栏位说明2：</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277"/>
        <w:gridCol w:w="1135"/>
        <w:gridCol w:w="1135"/>
        <w:gridCol w:w="851"/>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35"/>
              </w:numPr>
              <w:jc w:val="center"/>
              <w:rPr>
                <w:rFonts w:ascii="宋体" w:hAnsi="宋体"/>
                <w:b/>
              </w:rPr>
            </w:pPr>
          </w:p>
        </w:tc>
        <w:tc>
          <w:tcPr>
            <w:tcW w:w="1560"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账号或编号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5"/>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担保品组号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35"/>
              </w:numPr>
              <w:ind w:left="422" w:hanging="422"/>
              <w:jc w:val="center"/>
              <w:rPr>
                <w:rFonts w:ascii="宋体" w:hAnsi="宋体"/>
                <w:b/>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snapToGrid w:val="0"/>
                <w:kern w:val="0"/>
              </w:rPr>
            </w:pPr>
            <w:r>
              <w:rPr>
                <w:rFonts w:hint="eastAsia" w:ascii="宋体" w:hAnsi="宋体"/>
                <w:snapToGrid w:val="0"/>
                <w:kern w:val="0"/>
              </w:rPr>
              <w:t>所属系统</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rPr>
          <w:rFonts w:ascii="宋体" w:hAnsi="宋体"/>
          <w:b/>
        </w:rPr>
      </w:pPr>
      <w:r>
        <w:rPr>
          <w:rFonts w:hint="eastAsia" w:ascii="宋体" w:hAnsi="宋体"/>
          <w:b/>
        </w:rPr>
        <w:t>操作界面3：</w:t>
      </w:r>
    </w:p>
    <w:p>
      <w:pPr>
        <w:rPr>
          <w:rFonts w:ascii="宋体" w:hAnsi="宋体"/>
        </w:rPr>
      </w:pPr>
      <w:r>
        <w:rPr>
          <w:rFonts w:ascii="宋体" w:hAnsi="宋体"/>
        </w:rPr>
        <w:drawing>
          <wp:inline distT="0" distB="0" distL="0" distR="0">
            <wp:extent cx="6124575" cy="4514850"/>
            <wp:effectExtent l="19050" t="0" r="9525" b="0"/>
            <wp:docPr id="2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4"/>
                    <pic:cNvPicPr>
                      <a:picLocks noChangeAspect="1" noChangeArrowheads="1"/>
                    </pic:cNvPicPr>
                  </pic:nvPicPr>
                  <pic:blipFill>
                    <a:blip r:embed="rId24"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栏位说明3：</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277"/>
        <w:gridCol w:w="1135"/>
        <w:gridCol w:w="1135"/>
        <w:gridCol w:w="851"/>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36"/>
              </w:numPr>
              <w:jc w:val="center"/>
              <w:rPr>
                <w:rFonts w:ascii="宋体" w:hAnsi="宋体"/>
                <w:b/>
              </w:rPr>
            </w:pPr>
          </w:p>
        </w:tc>
        <w:tc>
          <w:tcPr>
            <w:tcW w:w="1560"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1"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开户日期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ind w:firstLine="105" w:firstLineChars="50"/>
              <w:rPr>
                <w:rFonts w:ascii="宋体" w:hAnsi="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到期日期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ind w:firstLine="105" w:firstLineChars="50"/>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合同日期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贷款期限</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还款方式</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结息周期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利率调整</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扣款账号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用途分类</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村别号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贷款科目</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36"/>
              </w:numPr>
              <w:ind w:left="422" w:hanging="422"/>
              <w:jc w:val="center"/>
              <w:rPr>
                <w:rFonts w:ascii="宋体" w:hAnsi="宋体"/>
                <w:b/>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snapToGrid w:val="0"/>
                <w:kern w:val="0"/>
              </w:rPr>
            </w:pPr>
            <w:r>
              <w:rPr>
                <w:rFonts w:hint="eastAsia" w:ascii="宋体" w:hAnsi="宋体"/>
                <w:snapToGrid w:val="0"/>
                <w:kern w:val="0"/>
              </w:rPr>
              <w:t>贷款状态</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1"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978"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pPr>
      <w:r>
        <w:rPr>
          <w:rFonts w:hint="eastAsia"/>
        </w:rPr>
        <w:t xml:space="preserve"> 操作流程</w:t>
      </w:r>
    </w:p>
    <w:p>
      <w:pPr>
        <w:numPr>
          <w:ilvl w:val="0"/>
          <w:numId w:val="37"/>
        </w:numPr>
        <w:tabs>
          <w:tab w:val="left" w:pos="840"/>
        </w:tabs>
        <w:ind w:left="0" w:firstLine="420"/>
        <w:rPr>
          <w:rFonts w:ascii="宋体" w:hAnsi="宋体"/>
          <w:kern w:val="0"/>
        </w:rPr>
      </w:pPr>
      <w:r>
        <w:rPr>
          <w:rFonts w:hint="eastAsia" w:ascii="宋体" w:hAnsi="宋体"/>
          <w:kern w:val="0"/>
        </w:rPr>
        <w:t>柜员根据业务需要启动担保品担保明细查询（690601）交易。</w:t>
      </w:r>
    </w:p>
    <w:p>
      <w:pPr>
        <w:numPr>
          <w:ilvl w:val="0"/>
          <w:numId w:val="37"/>
        </w:numPr>
        <w:tabs>
          <w:tab w:val="left" w:pos="840"/>
        </w:tabs>
        <w:ind w:left="0" w:firstLine="420"/>
        <w:rPr>
          <w:rFonts w:ascii="宋体" w:hAnsi="宋体"/>
          <w:kern w:val="0"/>
        </w:rPr>
      </w:pPr>
      <w:r>
        <w:rPr>
          <w:rFonts w:hint="eastAsia" w:ascii="宋体" w:hAnsi="宋体"/>
          <w:kern w:val="0"/>
        </w:rPr>
        <w:t>柜员输入担保品组号、账号或编号等要素后提交，系统自动反显查询记录。</w:t>
      </w:r>
    </w:p>
    <w:p>
      <w:pPr>
        <w:numPr>
          <w:ilvl w:val="0"/>
          <w:numId w:val="37"/>
        </w:numPr>
        <w:tabs>
          <w:tab w:val="left" w:pos="840"/>
        </w:tabs>
        <w:ind w:left="0" w:firstLine="420"/>
        <w:rPr>
          <w:rFonts w:ascii="宋体" w:hAnsi="宋体"/>
          <w:kern w:val="0"/>
        </w:rPr>
      </w:pPr>
      <w:r>
        <w:rPr>
          <w:rFonts w:hint="eastAsia" w:ascii="宋体" w:hAnsi="宋体"/>
          <w:kern w:val="0"/>
        </w:rPr>
        <w:t>柜员用鼠标选中单笔记录，按“S“键显示该笔记录的账号/编号、担保品组号、所属系统等信息；若柜员用鼠标双击单笔查询记录，系统自动反显该笔记录的贷款账号、开户日期等信息。</w:t>
      </w:r>
    </w:p>
    <w:p>
      <w:pPr>
        <w:numPr>
          <w:ilvl w:val="0"/>
          <w:numId w:val="37"/>
        </w:numPr>
        <w:tabs>
          <w:tab w:val="left" w:pos="840"/>
        </w:tabs>
        <w:ind w:left="0" w:firstLine="420"/>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autoSpaceDE w:val="0"/>
        <w:autoSpaceDN w:val="0"/>
        <w:adjustRightInd w:val="0"/>
        <w:ind w:firstLine="420" w:firstLineChars="200"/>
        <w:jc w:val="left"/>
        <w:rPr>
          <w:rFonts w:ascii="宋体" w:hAnsi="宋体" w:cs="宋体"/>
          <w:kern w:val="0"/>
          <w:lang w:val="zh-CN"/>
        </w:rPr>
      </w:pPr>
      <w:r>
        <w:rPr>
          <w:rFonts w:hint="eastAsia" w:ascii="宋体" w:hAnsi="宋体" w:cs="宋体"/>
          <w:kern w:val="0"/>
          <w:lang w:val="zh-CN"/>
        </w:rPr>
        <w:t>柜员可根据需要按“Ctrl+T”键选择打印机进行打印，其中打印项可灵活勾选确认。</w:t>
      </w:r>
    </w:p>
    <w:p>
      <w:pPr>
        <w:pStyle w:val="3"/>
        <w:numPr>
          <w:ilvl w:val="1"/>
          <w:numId w:val="4"/>
        </w:numPr>
        <w:spacing w:after="0" w:line="240" w:lineRule="auto"/>
        <w:ind w:left="422" w:hanging="422"/>
      </w:pPr>
      <w:r>
        <w:rPr>
          <w:rFonts w:hint="eastAsia"/>
        </w:rPr>
        <w:t>客户担保明细查询</w:t>
      </w:r>
    </w:p>
    <w:p>
      <w:pPr>
        <w:pStyle w:val="4"/>
        <w:numPr>
          <w:ilvl w:val="2"/>
          <w:numId w:val="4"/>
        </w:numPr>
        <w:ind w:left="422" w:hanging="422"/>
      </w:pPr>
      <w:bookmarkStart w:id="24" w:name="_Toc364694049"/>
      <w:r>
        <w:rPr>
          <w:rFonts w:hint="eastAsia"/>
        </w:rPr>
        <w:t>基本信息</w:t>
      </w:r>
      <w:bookmarkEnd w:id="24"/>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客户担保明细查询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690701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本交易用于客户担保明细的查询。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担保品业务查询打印角色柜员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Ctrl+T快捷打印</w:t>
            </w:r>
          </w:p>
        </w:tc>
      </w:tr>
    </w:tbl>
    <w:p>
      <w:pPr>
        <w:pStyle w:val="4"/>
        <w:numPr>
          <w:ilvl w:val="2"/>
          <w:numId w:val="4"/>
        </w:numPr>
        <w:ind w:left="422" w:hanging="422"/>
      </w:pPr>
      <w:bookmarkStart w:id="25" w:name="_Toc364694050"/>
      <w:r>
        <w:rPr>
          <w:rFonts w:hint="eastAsia"/>
        </w:rPr>
        <w:t>操作界面及栏位说明</w:t>
      </w:r>
      <w:bookmarkEnd w:id="25"/>
    </w:p>
    <w:p>
      <w:pPr>
        <w:rPr>
          <w:rFonts w:ascii="宋体" w:hAnsi="宋体"/>
          <w:b/>
          <w:kern w:val="0"/>
        </w:rPr>
      </w:pPr>
      <w:r>
        <w:rPr>
          <w:rFonts w:hint="eastAsia" w:ascii="宋体" w:hAnsi="宋体"/>
          <w:b/>
          <w:kern w:val="0"/>
        </w:rPr>
        <w:t>操作界面１：</w:t>
      </w:r>
    </w:p>
    <w:p>
      <w:pPr>
        <w:rPr>
          <w:rFonts w:ascii="宋体" w:hAnsi="宋体"/>
          <w:b/>
          <w:kern w:val="0"/>
        </w:rPr>
      </w:pPr>
      <w:r>
        <w:rPr>
          <w:rFonts w:ascii="宋体" w:hAnsi="宋体"/>
          <w:b/>
          <w:kern w:val="0"/>
        </w:rPr>
        <w:drawing>
          <wp:inline distT="0" distB="0" distL="0" distR="0">
            <wp:extent cx="6124575" cy="4514850"/>
            <wp:effectExtent l="19050" t="0" r="9525" b="0"/>
            <wp:docPr id="2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7"/>
                    <pic:cNvPicPr>
                      <a:picLocks noChangeAspect="1" noChangeArrowheads="1"/>
                    </pic:cNvPicPr>
                  </pic:nvPicPr>
                  <pic:blipFill>
                    <a:blip r:embed="rId25"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38"/>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rPr>
              <w:t>客户号与证件类型、证件号码二者任输其一。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8"/>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证件类别</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38"/>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snapToGrid w:val="0"/>
                <w:kern w:val="0"/>
              </w:rPr>
            </w:pPr>
            <w:r>
              <w:rPr>
                <w:rFonts w:hint="eastAsia" w:ascii="宋体" w:hAnsi="宋体"/>
              </w:rPr>
              <w:t>证件号码</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snapToGrid w:val="0"/>
                <w:kern w:val="0"/>
              </w:rPr>
              <w:t>系统反显</w:t>
            </w:r>
          </w:p>
        </w:tc>
      </w:tr>
    </w:tbl>
    <w:p>
      <w:pPr>
        <w:rPr>
          <w:rFonts w:ascii="宋体" w:hAnsi="宋体"/>
          <w:b/>
          <w:kern w:val="0"/>
        </w:rPr>
      </w:pPr>
      <w:r>
        <w:rPr>
          <w:rFonts w:hint="eastAsia" w:ascii="宋体" w:hAnsi="宋体"/>
          <w:b/>
          <w:kern w:val="0"/>
        </w:rPr>
        <w:t>操作界面2：</w:t>
      </w:r>
    </w:p>
    <w:p>
      <w:pPr>
        <w:rPr>
          <w:rFonts w:ascii="宋体" w:hAnsi="宋体"/>
          <w:b/>
          <w:kern w:val="0"/>
        </w:rPr>
      </w:pPr>
    </w:p>
    <w:p>
      <w:pPr>
        <w:rPr>
          <w:rFonts w:ascii="宋体" w:hAnsi="宋体"/>
          <w:b/>
          <w:kern w:val="0"/>
        </w:rPr>
      </w:pPr>
      <w:r>
        <w:rPr>
          <w:rFonts w:hint="eastAsia" w:ascii="宋体" w:hAnsi="宋体"/>
          <w:b/>
          <w:kern w:val="0"/>
        </w:rPr>
        <w:t>栏位说明2：</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702"/>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4" w:type="dxa"/>
            <w:tcBorders>
              <w:top w:val="single" w:color="auto" w:sz="12" w:space="0"/>
              <w:left w:val="single" w:color="auto" w:sz="12" w:space="0"/>
              <w:bottom w:val="single" w:color="auto" w:sz="6" w:space="0"/>
              <w:right w:val="single" w:color="auto" w:sz="6" w:space="0"/>
            </w:tcBorders>
            <w:vAlign w:val="center"/>
          </w:tcPr>
          <w:p>
            <w:pPr>
              <w:numPr>
                <w:ilvl w:val="0"/>
                <w:numId w:val="39"/>
              </w:numPr>
              <w:jc w:val="center"/>
              <w:rPr>
                <w:rFonts w:ascii="宋体" w:hAnsi="宋体"/>
                <w:b/>
              </w:rPr>
            </w:pPr>
          </w:p>
        </w:tc>
        <w:tc>
          <w:tcPr>
            <w:tcW w:w="170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客户名称</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担保品组号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rPr>
              <w:t>担保品编号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性质</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状态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担保品种类</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评估价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numPr>
                <w:ilvl w:val="0"/>
                <w:numId w:val="39"/>
              </w:numPr>
              <w:ind w:left="422" w:hanging="422"/>
              <w:jc w:val="center"/>
              <w:rPr>
                <w:rFonts w:ascii="宋体" w:hAnsi="宋体"/>
                <w:b/>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numPr>
                <w:ilvl w:val="0"/>
                <w:numId w:val="39"/>
              </w:numPr>
              <w:ind w:left="422" w:hanging="422"/>
              <w:jc w:val="center"/>
              <w:rPr>
                <w:rFonts w:ascii="宋体" w:hAnsi="宋体"/>
                <w:b/>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币种</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bl>
    <w:p>
      <w:pPr>
        <w:pStyle w:val="4"/>
        <w:numPr>
          <w:ilvl w:val="2"/>
          <w:numId w:val="4"/>
        </w:numPr>
        <w:ind w:left="422" w:hanging="422"/>
      </w:pPr>
      <w:r>
        <w:rPr>
          <w:rFonts w:hint="eastAsia"/>
        </w:rPr>
        <w:t>操作流程</w:t>
      </w:r>
    </w:p>
    <w:p>
      <w:pPr>
        <w:numPr>
          <w:ilvl w:val="0"/>
          <w:numId w:val="40"/>
        </w:numPr>
        <w:tabs>
          <w:tab w:val="left" w:pos="840"/>
        </w:tabs>
        <w:ind w:left="0" w:firstLine="420"/>
        <w:rPr>
          <w:rFonts w:ascii="宋体" w:hAnsi="宋体"/>
          <w:kern w:val="0"/>
        </w:rPr>
      </w:pPr>
      <w:r>
        <w:rPr>
          <w:rFonts w:hint="eastAsia" w:ascii="宋体" w:hAnsi="宋体"/>
          <w:kern w:val="0"/>
        </w:rPr>
        <w:t>柜员根据业务需要启动客户担保明细查询（690701）交易。</w:t>
      </w:r>
    </w:p>
    <w:p>
      <w:pPr>
        <w:numPr>
          <w:ilvl w:val="0"/>
          <w:numId w:val="40"/>
        </w:numPr>
        <w:tabs>
          <w:tab w:val="left" w:pos="840"/>
        </w:tabs>
        <w:ind w:left="0" w:firstLine="420"/>
        <w:rPr>
          <w:rFonts w:ascii="宋体" w:hAnsi="宋体"/>
          <w:kern w:val="0"/>
        </w:rPr>
      </w:pPr>
      <w:r>
        <w:rPr>
          <w:rFonts w:hint="eastAsia" w:ascii="宋体" w:hAnsi="宋体"/>
          <w:kern w:val="0"/>
        </w:rPr>
        <w:t>柜员输入客户号、证件类型与证件号码等要素后提交，系统自动反显客户担保明细。</w:t>
      </w:r>
    </w:p>
    <w:p>
      <w:pPr>
        <w:numPr>
          <w:ilvl w:val="0"/>
          <w:numId w:val="40"/>
        </w:numPr>
        <w:tabs>
          <w:tab w:val="left" w:pos="840"/>
        </w:tabs>
        <w:ind w:left="0" w:firstLine="420"/>
        <w:rPr>
          <w:rFonts w:ascii="宋体" w:hAnsi="宋体"/>
          <w:kern w:val="0"/>
        </w:rPr>
      </w:pPr>
      <w:r>
        <w:rPr>
          <w:rFonts w:hint="eastAsia" w:ascii="宋体" w:hAnsi="宋体"/>
          <w:kern w:val="0"/>
        </w:rPr>
        <w:t>柜员用鼠标选中单笔记录按“S”键显示该笔记录的客户名称、担保品组号等信息。</w:t>
      </w:r>
    </w:p>
    <w:p>
      <w:pPr>
        <w:numPr>
          <w:ilvl w:val="0"/>
          <w:numId w:val="40"/>
        </w:numPr>
        <w:tabs>
          <w:tab w:val="left" w:pos="840"/>
        </w:tabs>
        <w:ind w:left="0" w:firstLine="420"/>
        <w:rPr>
          <w:rFonts w:ascii="宋体" w:hAnsi="宋体"/>
          <w:kern w:val="0"/>
        </w:rPr>
      </w:pPr>
      <w:r>
        <w:rPr>
          <w:rFonts w:hint="eastAsia" w:ascii="宋体" w:hAnsi="宋体"/>
          <w:kern w:val="0"/>
        </w:rPr>
        <w:t>交易处理成功后，退出本交易。</w:t>
      </w:r>
    </w:p>
    <w:p>
      <w:pPr>
        <w:pStyle w:val="4"/>
        <w:numPr>
          <w:ilvl w:val="2"/>
          <w:numId w:val="4"/>
        </w:numPr>
        <w:ind w:left="422" w:hanging="422"/>
      </w:pPr>
      <w:r>
        <w:rPr>
          <w:rFonts w:hint="eastAsia"/>
        </w:rPr>
        <w:t>注意事项</w:t>
      </w:r>
    </w:p>
    <w:p>
      <w:pPr>
        <w:ind w:firstLine="420" w:firstLineChars="200"/>
        <w:rPr>
          <w:rFonts w:ascii="宋体" w:hAnsi="宋体" w:cs="宋体"/>
          <w:kern w:val="0"/>
          <w:lang w:val="zh-CN"/>
        </w:rPr>
      </w:pPr>
      <w:r>
        <w:rPr>
          <w:rFonts w:hint="eastAsia" w:ascii="宋体" w:hAnsi="宋体" w:cs="宋体"/>
          <w:kern w:val="0"/>
          <w:lang w:val="zh-CN"/>
        </w:rPr>
        <w:t>柜员可根据需要按“Ctrl+T”键选择打印机进行打印，其中打印项可灵活勾选确认。</w:t>
      </w:r>
    </w:p>
    <w:p/>
    <w:p/>
    <w:p>
      <w:pPr>
        <w:pStyle w:val="2"/>
        <w:numPr>
          <w:ilvl w:val="0"/>
          <w:numId w:val="0"/>
        </w:numPr>
        <w:ind w:left="643"/>
      </w:pPr>
    </w:p>
    <w:p/>
    <w:p/>
    <w:sectPr>
      <w:headerReference r:id="rId3" w:type="default"/>
      <w:headerReference r:id="rId4" w:type="even"/>
      <w:pgSz w:w="11906" w:h="16838"/>
      <w:pgMar w:top="1440" w:right="1800" w:bottom="1440" w:left="1800" w:header="794"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left"/>
    </w:pPr>
    <w:r>
      <w:rPr>
        <w:rFonts w:hint="eastAsia"/>
      </w:rPr>
      <w:drawing>
        <wp:inline distT="0" distB="0" distL="0" distR="0">
          <wp:extent cx="1971675" cy="24638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34223" cy="25427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right"/>
    </w:pPr>
    <w:r>
      <w:rPr>
        <w:rFonts w:hint="eastAsia"/>
      </w:rPr>
      <w:t>村镇银行</w:t>
    </w:r>
    <w:r>
      <w:t>柜面</w:t>
    </w:r>
    <w:r>
      <w:rPr>
        <w:rFonts w:hint="eastAsia"/>
      </w:rPr>
      <w:t>业务系统操作手册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1">
    <w:nsid w:val="012F07B5"/>
    <w:multiLevelType w:val="multilevel"/>
    <w:tmpl w:val="012F07B5"/>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05926DB9"/>
    <w:multiLevelType w:val="multilevel"/>
    <w:tmpl w:val="05926DB9"/>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
    <w:nsid w:val="10D61996"/>
    <w:multiLevelType w:val="multilevel"/>
    <w:tmpl w:val="10D61996"/>
    <w:lvl w:ilvl="0" w:tentative="0">
      <w:start w:val="1"/>
      <w:numFmt w:val="decimalZero"/>
      <w:suff w:val="nothing"/>
      <w:lvlText w:val="%1"/>
      <w:lvlJc w:val="left"/>
      <w:pPr>
        <w:ind w:left="562"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4">
    <w:nsid w:val="157E39B2"/>
    <w:multiLevelType w:val="multilevel"/>
    <w:tmpl w:val="157E39B2"/>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80B25B5"/>
    <w:multiLevelType w:val="multilevel"/>
    <w:tmpl w:val="180B25B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1ACC4956"/>
    <w:multiLevelType w:val="multilevel"/>
    <w:tmpl w:val="1ACC495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DAA3DCB"/>
    <w:multiLevelType w:val="multilevel"/>
    <w:tmpl w:val="1DAA3DCB"/>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8">
    <w:nsid w:val="22530033"/>
    <w:multiLevelType w:val="multilevel"/>
    <w:tmpl w:val="22530033"/>
    <w:lvl w:ilvl="0" w:tentative="0">
      <w:start w:val="1"/>
      <w:numFmt w:val="decimalZero"/>
      <w:suff w:val="nothing"/>
      <w:lvlText w:val="%1"/>
      <w:lvlJc w:val="left"/>
      <w:pPr>
        <w:ind w:left="562"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9">
    <w:nsid w:val="23EA7081"/>
    <w:multiLevelType w:val="multilevel"/>
    <w:tmpl w:val="23EA708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527103E"/>
    <w:multiLevelType w:val="multilevel"/>
    <w:tmpl w:val="2527103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26F23F1D"/>
    <w:multiLevelType w:val="multilevel"/>
    <w:tmpl w:val="26F23F1D"/>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2">
    <w:nsid w:val="29DC204D"/>
    <w:multiLevelType w:val="multilevel"/>
    <w:tmpl w:val="29DC204D"/>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F701CF3"/>
    <w:multiLevelType w:val="multilevel"/>
    <w:tmpl w:val="2F701CF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4E27E32"/>
    <w:multiLevelType w:val="multilevel"/>
    <w:tmpl w:val="34E27E32"/>
    <w:lvl w:ilvl="0" w:tentative="0">
      <w:start w:val="1"/>
      <w:numFmt w:val="decimalZero"/>
      <w:suff w:val="nothing"/>
      <w:lvlText w:val="%1"/>
      <w:lvlJc w:val="left"/>
      <w:pPr>
        <w:ind w:left="420"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15">
    <w:nsid w:val="35BF14CD"/>
    <w:multiLevelType w:val="multilevel"/>
    <w:tmpl w:val="35BF14CD"/>
    <w:lvl w:ilvl="0" w:tentative="0">
      <w:start w:val="1"/>
      <w:numFmt w:val="decimalZero"/>
      <w:suff w:val="nothing"/>
      <w:lvlText w:val="%1"/>
      <w:lvlJc w:val="left"/>
      <w:pPr>
        <w:ind w:left="420"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16">
    <w:nsid w:val="36BA4046"/>
    <w:multiLevelType w:val="singleLevel"/>
    <w:tmpl w:val="36BA4046"/>
    <w:lvl w:ilvl="0" w:tentative="0">
      <w:start w:val="1"/>
      <w:numFmt w:val="decimal"/>
      <w:pStyle w:val="107"/>
      <w:lvlText w:val="%1."/>
      <w:lvlJc w:val="left"/>
      <w:pPr>
        <w:tabs>
          <w:tab w:val="left" w:pos="360"/>
        </w:tabs>
        <w:ind w:left="360" w:hanging="360"/>
      </w:pPr>
    </w:lvl>
  </w:abstractNum>
  <w:abstractNum w:abstractNumId="17">
    <w:nsid w:val="373B1F98"/>
    <w:multiLevelType w:val="multilevel"/>
    <w:tmpl w:val="373B1F98"/>
    <w:lvl w:ilvl="0" w:tentative="0">
      <w:start w:val="1"/>
      <w:numFmt w:val="decimalZero"/>
      <w:suff w:val="nothing"/>
      <w:lvlText w:val="%1"/>
      <w:lvlJc w:val="left"/>
      <w:pPr>
        <w:ind w:left="420" w:hanging="420"/>
      </w:pPr>
    </w:lvl>
    <w:lvl w:ilvl="1" w:tentative="0">
      <w:start w:val="1"/>
      <w:numFmt w:val="lowerLetter"/>
      <w:lvlText w:val="%2)"/>
      <w:lvlJc w:val="left"/>
      <w:pPr>
        <w:tabs>
          <w:tab w:val="left" w:pos="-142"/>
        </w:tabs>
        <w:ind w:left="698" w:hanging="420"/>
      </w:pPr>
    </w:lvl>
    <w:lvl w:ilvl="2" w:tentative="0">
      <w:start w:val="1"/>
      <w:numFmt w:val="lowerRoman"/>
      <w:lvlText w:val="%3."/>
      <w:lvlJc w:val="right"/>
      <w:pPr>
        <w:tabs>
          <w:tab w:val="left" w:pos="-142"/>
        </w:tabs>
        <w:ind w:left="1118" w:hanging="420"/>
      </w:pPr>
    </w:lvl>
    <w:lvl w:ilvl="3" w:tentative="0">
      <w:start w:val="1"/>
      <w:numFmt w:val="decimal"/>
      <w:lvlText w:val="%4."/>
      <w:lvlJc w:val="left"/>
      <w:pPr>
        <w:tabs>
          <w:tab w:val="left" w:pos="-142"/>
        </w:tabs>
        <w:ind w:left="1538" w:hanging="420"/>
      </w:pPr>
    </w:lvl>
    <w:lvl w:ilvl="4" w:tentative="0">
      <w:start w:val="1"/>
      <w:numFmt w:val="lowerLetter"/>
      <w:lvlText w:val="%5)"/>
      <w:lvlJc w:val="left"/>
      <w:pPr>
        <w:tabs>
          <w:tab w:val="left" w:pos="-142"/>
        </w:tabs>
        <w:ind w:left="1958" w:hanging="420"/>
      </w:pPr>
    </w:lvl>
    <w:lvl w:ilvl="5" w:tentative="0">
      <w:start w:val="1"/>
      <w:numFmt w:val="lowerRoman"/>
      <w:lvlText w:val="%6."/>
      <w:lvlJc w:val="right"/>
      <w:pPr>
        <w:tabs>
          <w:tab w:val="left" w:pos="-142"/>
        </w:tabs>
        <w:ind w:left="2378" w:hanging="420"/>
      </w:pPr>
    </w:lvl>
    <w:lvl w:ilvl="6" w:tentative="0">
      <w:start w:val="1"/>
      <w:numFmt w:val="decimal"/>
      <w:lvlText w:val="%7."/>
      <w:lvlJc w:val="left"/>
      <w:pPr>
        <w:tabs>
          <w:tab w:val="left" w:pos="-142"/>
        </w:tabs>
        <w:ind w:left="2798" w:hanging="420"/>
      </w:pPr>
    </w:lvl>
    <w:lvl w:ilvl="7" w:tentative="0">
      <w:start w:val="1"/>
      <w:numFmt w:val="lowerLetter"/>
      <w:lvlText w:val="%8)"/>
      <w:lvlJc w:val="left"/>
      <w:pPr>
        <w:tabs>
          <w:tab w:val="left" w:pos="-142"/>
        </w:tabs>
        <w:ind w:left="3218" w:hanging="420"/>
      </w:pPr>
    </w:lvl>
    <w:lvl w:ilvl="8" w:tentative="0">
      <w:start w:val="1"/>
      <w:numFmt w:val="lowerRoman"/>
      <w:lvlText w:val="%9."/>
      <w:lvlJc w:val="right"/>
      <w:pPr>
        <w:tabs>
          <w:tab w:val="left" w:pos="-142"/>
        </w:tabs>
        <w:ind w:left="3638" w:hanging="420"/>
      </w:pPr>
    </w:lvl>
  </w:abstractNum>
  <w:abstractNum w:abstractNumId="18">
    <w:nsid w:val="3BC3585B"/>
    <w:multiLevelType w:val="multilevel"/>
    <w:tmpl w:val="3BC3585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00135EB"/>
    <w:multiLevelType w:val="multilevel"/>
    <w:tmpl w:val="400135EB"/>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0">
    <w:nsid w:val="416C17E4"/>
    <w:multiLevelType w:val="multilevel"/>
    <w:tmpl w:val="416C17E4"/>
    <w:lvl w:ilvl="0" w:tentative="0">
      <w:start w:val="1"/>
      <w:numFmt w:val="chineseCountingThousand"/>
      <w:pStyle w:val="2"/>
      <w:suff w:val="space"/>
      <w:lvlText w:val="第%1章"/>
      <w:lvlJc w:val="left"/>
      <w:pPr>
        <w:ind w:left="360" w:hanging="360"/>
      </w:pPr>
    </w:lvl>
    <w:lvl w:ilvl="1" w:tentative="0">
      <w:start w:val="1"/>
      <w:numFmt w:val="decimal"/>
      <w:pStyle w:val="3"/>
      <w:isLgl/>
      <w:suff w:val="space"/>
      <w:lvlText w:val="%1.%2"/>
      <w:lvlJc w:val="left"/>
      <w:pPr>
        <w:ind w:left="360" w:hanging="360"/>
      </w:pPr>
      <w:rPr>
        <w:rFonts w:hint="eastAsia" w:ascii="宋体" w:hAnsi="宋体" w:eastAsia="宋体"/>
        <w:sz w:val="21"/>
      </w:rPr>
    </w:lvl>
    <w:lvl w:ilvl="2" w:tentative="0">
      <w:start w:val="1"/>
      <w:numFmt w:val="decimal"/>
      <w:pStyle w:val="4"/>
      <w:isLgl/>
      <w:suff w:val="space"/>
      <w:lvlText w:val="%1.%2.%3"/>
      <w:lvlJc w:val="left"/>
      <w:pPr>
        <w:ind w:left="720" w:hanging="720"/>
      </w:pPr>
      <w:rPr>
        <w:rFonts w:hint="eastAsia" w:ascii="宋体" w:hAnsi="宋体" w:eastAsia="宋体"/>
      </w:rPr>
    </w:lvl>
    <w:lvl w:ilvl="3" w:tentative="0">
      <w:start w:val="1"/>
      <w:numFmt w:val="decimal"/>
      <w:pStyle w:val="5"/>
      <w:isLgl/>
      <w:suff w:val="space"/>
      <w:lvlText w:val="%1.%2.%3.%4"/>
      <w:lvlJc w:val="left"/>
      <w:pPr>
        <w:ind w:left="720" w:hanging="720"/>
      </w:pPr>
      <w:rPr>
        <w:rFonts w:hint="eastAsia" w:ascii="宋体" w:hAnsi="宋体" w:eastAsia="宋体"/>
      </w:rPr>
    </w:lvl>
    <w:lvl w:ilvl="4" w:tentative="0">
      <w:start w:val="1"/>
      <w:numFmt w:val="decimal"/>
      <w:isLgl/>
      <w:suff w:val="space"/>
      <w:lvlText w:val="%1.%2.%3.%4.%5"/>
      <w:lvlJc w:val="left"/>
      <w:pPr>
        <w:ind w:left="1080" w:hanging="1080"/>
      </w:pPr>
      <w:rPr>
        <w:rFonts w:hint="eastAsia" w:ascii="宋体" w:hAnsi="宋体" w:eastAsia="宋体"/>
      </w:rPr>
    </w:lvl>
    <w:lvl w:ilvl="5" w:tentative="0">
      <w:start w:val="1"/>
      <w:numFmt w:val="decimal"/>
      <w:isLgl/>
      <w:suff w:val="space"/>
      <w:lvlText w:val="%1.%2.%3.%4.%5.%6"/>
      <w:lvlJc w:val="left"/>
      <w:pPr>
        <w:ind w:left="1080" w:hanging="1080"/>
      </w:pPr>
      <w:rPr>
        <w:rFonts w:hint="eastAsia" w:ascii="宋体" w:hAnsi="宋体" w:eastAsia="宋体"/>
      </w:rPr>
    </w:lvl>
    <w:lvl w:ilvl="6" w:tentative="0">
      <w:start w:val="1"/>
      <w:numFmt w:val="decimal"/>
      <w:isLgl/>
      <w:lvlText w:val="%1.%2.%3.%4.%5.%6.%7"/>
      <w:lvlJc w:val="left"/>
      <w:pPr>
        <w:ind w:left="1080" w:hanging="1080"/>
      </w:pPr>
    </w:lvl>
    <w:lvl w:ilvl="7" w:tentative="0">
      <w:start w:val="1"/>
      <w:numFmt w:val="decimal"/>
      <w:isLgl/>
      <w:lvlText w:val="%1.%2.%3.%4.%5.%6.%7.%8"/>
      <w:lvlJc w:val="left"/>
      <w:pPr>
        <w:ind w:left="1440" w:hanging="1440"/>
      </w:pPr>
    </w:lvl>
    <w:lvl w:ilvl="8" w:tentative="0">
      <w:start w:val="1"/>
      <w:numFmt w:val="decimal"/>
      <w:isLgl/>
      <w:lvlText w:val="%1.%2.%3.%4.%5.%6.%7.%8.%9"/>
      <w:lvlJc w:val="left"/>
      <w:pPr>
        <w:ind w:left="1440" w:hanging="1440"/>
      </w:pPr>
    </w:lvl>
  </w:abstractNum>
  <w:abstractNum w:abstractNumId="21">
    <w:nsid w:val="4B4B46F3"/>
    <w:multiLevelType w:val="multilevel"/>
    <w:tmpl w:val="4B4B46F3"/>
    <w:lvl w:ilvl="0" w:tentative="0">
      <w:start w:val="1"/>
      <w:numFmt w:val="decimalZero"/>
      <w:suff w:val="nothing"/>
      <w:lvlText w:val="%1"/>
      <w:lvlJc w:val="left"/>
      <w:pPr>
        <w:ind w:left="420" w:hanging="420"/>
      </w:pPr>
    </w:lvl>
    <w:lvl w:ilvl="1" w:tentative="0">
      <w:start w:val="1"/>
      <w:numFmt w:val="lowerLetter"/>
      <w:lvlText w:val="%2)"/>
      <w:lvlJc w:val="left"/>
      <w:pPr>
        <w:tabs>
          <w:tab w:val="left" w:pos="-142"/>
        </w:tabs>
        <w:ind w:left="698" w:hanging="420"/>
      </w:pPr>
    </w:lvl>
    <w:lvl w:ilvl="2" w:tentative="0">
      <w:start w:val="1"/>
      <w:numFmt w:val="lowerRoman"/>
      <w:lvlText w:val="%3."/>
      <w:lvlJc w:val="right"/>
      <w:pPr>
        <w:tabs>
          <w:tab w:val="left" w:pos="-142"/>
        </w:tabs>
        <w:ind w:left="1118" w:hanging="420"/>
      </w:pPr>
    </w:lvl>
    <w:lvl w:ilvl="3" w:tentative="0">
      <w:start w:val="1"/>
      <w:numFmt w:val="decimal"/>
      <w:lvlText w:val="%4."/>
      <w:lvlJc w:val="left"/>
      <w:pPr>
        <w:tabs>
          <w:tab w:val="left" w:pos="-142"/>
        </w:tabs>
        <w:ind w:left="1538" w:hanging="420"/>
      </w:pPr>
    </w:lvl>
    <w:lvl w:ilvl="4" w:tentative="0">
      <w:start w:val="1"/>
      <w:numFmt w:val="lowerLetter"/>
      <w:lvlText w:val="%5)"/>
      <w:lvlJc w:val="left"/>
      <w:pPr>
        <w:tabs>
          <w:tab w:val="left" w:pos="-142"/>
        </w:tabs>
        <w:ind w:left="1958" w:hanging="420"/>
      </w:pPr>
    </w:lvl>
    <w:lvl w:ilvl="5" w:tentative="0">
      <w:start w:val="1"/>
      <w:numFmt w:val="lowerRoman"/>
      <w:lvlText w:val="%6."/>
      <w:lvlJc w:val="right"/>
      <w:pPr>
        <w:tabs>
          <w:tab w:val="left" w:pos="-142"/>
        </w:tabs>
        <w:ind w:left="2378" w:hanging="420"/>
      </w:pPr>
    </w:lvl>
    <w:lvl w:ilvl="6" w:tentative="0">
      <w:start w:val="1"/>
      <w:numFmt w:val="decimal"/>
      <w:lvlText w:val="%7."/>
      <w:lvlJc w:val="left"/>
      <w:pPr>
        <w:tabs>
          <w:tab w:val="left" w:pos="-142"/>
        </w:tabs>
        <w:ind w:left="2798" w:hanging="420"/>
      </w:pPr>
    </w:lvl>
    <w:lvl w:ilvl="7" w:tentative="0">
      <w:start w:val="1"/>
      <w:numFmt w:val="lowerLetter"/>
      <w:lvlText w:val="%8)"/>
      <w:lvlJc w:val="left"/>
      <w:pPr>
        <w:tabs>
          <w:tab w:val="left" w:pos="-142"/>
        </w:tabs>
        <w:ind w:left="3218" w:hanging="420"/>
      </w:pPr>
    </w:lvl>
    <w:lvl w:ilvl="8" w:tentative="0">
      <w:start w:val="1"/>
      <w:numFmt w:val="lowerRoman"/>
      <w:lvlText w:val="%9."/>
      <w:lvlJc w:val="right"/>
      <w:pPr>
        <w:tabs>
          <w:tab w:val="left" w:pos="-142"/>
        </w:tabs>
        <w:ind w:left="3638" w:hanging="420"/>
      </w:pPr>
    </w:lvl>
  </w:abstractNum>
  <w:abstractNum w:abstractNumId="22">
    <w:nsid w:val="500F0D49"/>
    <w:multiLevelType w:val="multilevel"/>
    <w:tmpl w:val="500F0D49"/>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3">
    <w:nsid w:val="50CF59DA"/>
    <w:multiLevelType w:val="multilevel"/>
    <w:tmpl w:val="50CF59DA"/>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4">
    <w:nsid w:val="59682FDE"/>
    <w:multiLevelType w:val="multilevel"/>
    <w:tmpl w:val="59682FDE"/>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59A712CA"/>
    <w:multiLevelType w:val="multilevel"/>
    <w:tmpl w:val="59A712CA"/>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5A930993"/>
    <w:multiLevelType w:val="multilevel"/>
    <w:tmpl w:val="5A930993"/>
    <w:lvl w:ilvl="0" w:tentative="0">
      <w:start w:val="1"/>
      <w:numFmt w:val="decimalZero"/>
      <w:suff w:val="nothing"/>
      <w:lvlText w:val="%1"/>
      <w:lvlJc w:val="left"/>
      <w:pPr>
        <w:ind w:left="420"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27">
    <w:nsid w:val="5D0669B5"/>
    <w:multiLevelType w:val="multilevel"/>
    <w:tmpl w:val="5D0669B5"/>
    <w:lvl w:ilvl="0" w:tentative="0">
      <w:start w:val="1"/>
      <w:numFmt w:val="decimal"/>
      <w:lvlText w:val="%1."/>
      <w:lvlJc w:val="left"/>
      <w:pPr>
        <w:ind w:left="425" w:hanging="425"/>
      </w:pPr>
      <w:rPr>
        <w:lang w:eastAsia="zh-CN"/>
      </w:r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8">
    <w:nsid w:val="5EC86AF4"/>
    <w:multiLevelType w:val="multilevel"/>
    <w:tmpl w:val="5EC86AF4"/>
    <w:lvl w:ilvl="0" w:tentative="0">
      <w:start w:val="1"/>
      <w:numFmt w:val="decimalZero"/>
      <w:suff w:val="nothing"/>
      <w:lvlText w:val="%1"/>
      <w:lvlJc w:val="left"/>
      <w:pPr>
        <w:ind w:left="420"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29">
    <w:nsid w:val="6237199F"/>
    <w:multiLevelType w:val="multilevel"/>
    <w:tmpl w:val="6237199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0">
    <w:nsid w:val="63AC07F4"/>
    <w:multiLevelType w:val="multilevel"/>
    <w:tmpl w:val="63AC07F4"/>
    <w:lvl w:ilvl="0" w:tentative="0">
      <w:start w:val="1"/>
      <w:numFmt w:val="decimalZero"/>
      <w:suff w:val="nothing"/>
      <w:lvlText w:val="%1"/>
      <w:lvlJc w:val="left"/>
      <w:pPr>
        <w:ind w:left="562"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31">
    <w:nsid w:val="657A4A4F"/>
    <w:multiLevelType w:val="multilevel"/>
    <w:tmpl w:val="657A4A4F"/>
    <w:lvl w:ilvl="0" w:tentative="0">
      <w:start w:val="0"/>
      <w:numFmt w:val="decimal"/>
      <w:lvlText w:val="%1-"/>
      <w:lvlJc w:val="left"/>
      <w:pPr>
        <w:tabs>
          <w:tab w:val="left" w:pos="360"/>
        </w:tabs>
        <w:ind w:left="360" w:hanging="36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676F4990"/>
    <w:multiLevelType w:val="multilevel"/>
    <w:tmpl w:val="676F4990"/>
    <w:lvl w:ilvl="0" w:tentative="0">
      <w:start w:val="1"/>
      <w:numFmt w:val="decimal"/>
      <w:lvlText w:val="%1."/>
      <w:lvlJc w:val="left"/>
      <w:pPr>
        <w:ind w:left="851" w:hanging="425"/>
      </w:pPr>
    </w:lvl>
    <w:lvl w:ilvl="1" w:tentative="0">
      <w:start w:val="1"/>
      <w:numFmt w:val="decimal"/>
      <w:lvlText w:val="%1.%2."/>
      <w:lvlJc w:val="left"/>
      <w:pPr>
        <w:ind w:left="993" w:hanging="567"/>
      </w:pPr>
    </w:lvl>
    <w:lvl w:ilvl="2" w:tentative="0">
      <w:start w:val="1"/>
      <w:numFmt w:val="decimal"/>
      <w:lvlText w:val="%1.%2.%3."/>
      <w:lvlJc w:val="left"/>
      <w:pPr>
        <w:ind w:left="1135" w:hanging="709"/>
      </w:pPr>
    </w:lvl>
    <w:lvl w:ilvl="3" w:tentative="0">
      <w:start w:val="1"/>
      <w:numFmt w:val="decimal"/>
      <w:lvlText w:val="%1.%2.%3.%4."/>
      <w:lvlJc w:val="left"/>
      <w:pPr>
        <w:ind w:left="1277" w:hanging="851"/>
      </w:pPr>
    </w:lvl>
    <w:lvl w:ilvl="4" w:tentative="0">
      <w:start w:val="1"/>
      <w:numFmt w:val="decimal"/>
      <w:lvlText w:val="%1.%2.%3.%4.%5."/>
      <w:lvlJc w:val="left"/>
      <w:pPr>
        <w:ind w:left="1418" w:hanging="992"/>
      </w:pPr>
    </w:lvl>
    <w:lvl w:ilvl="5" w:tentative="0">
      <w:start w:val="1"/>
      <w:numFmt w:val="decimal"/>
      <w:lvlText w:val="%1.%2.%3.%4.%5.%6."/>
      <w:lvlJc w:val="left"/>
      <w:pPr>
        <w:ind w:left="1560" w:hanging="1134"/>
      </w:pPr>
    </w:lvl>
    <w:lvl w:ilvl="6" w:tentative="0">
      <w:start w:val="1"/>
      <w:numFmt w:val="decimal"/>
      <w:lvlText w:val="%1.%2.%3.%4.%5.%6.%7."/>
      <w:lvlJc w:val="left"/>
      <w:pPr>
        <w:ind w:left="1702" w:hanging="1276"/>
      </w:pPr>
    </w:lvl>
    <w:lvl w:ilvl="7" w:tentative="0">
      <w:start w:val="1"/>
      <w:numFmt w:val="decimal"/>
      <w:lvlText w:val="%1.%2.%3.%4.%5.%6.%7.%8."/>
      <w:lvlJc w:val="left"/>
      <w:pPr>
        <w:ind w:left="1844" w:hanging="1418"/>
      </w:pPr>
    </w:lvl>
    <w:lvl w:ilvl="8" w:tentative="0">
      <w:start w:val="1"/>
      <w:numFmt w:val="decimal"/>
      <w:lvlText w:val="%1.%2.%3.%4.%5.%6.%7.%8.%9."/>
      <w:lvlJc w:val="left"/>
      <w:pPr>
        <w:ind w:left="1985" w:hanging="1559"/>
      </w:pPr>
    </w:lvl>
  </w:abstractNum>
  <w:abstractNum w:abstractNumId="33">
    <w:nsid w:val="6C385C6F"/>
    <w:multiLevelType w:val="multilevel"/>
    <w:tmpl w:val="6C385C6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6C442EF1"/>
    <w:multiLevelType w:val="multilevel"/>
    <w:tmpl w:val="6C442EF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6E3249C9"/>
    <w:multiLevelType w:val="multilevel"/>
    <w:tmpl w:val="6E3249C9"/>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78EE1360"/>
    <w:multiLevelType w:val="multilevel"/>
    <w:tmpl w:val="78EE1360"/>
    <w:lvl w:ilvl="0" w:tentative="0">
      <w:start w:val="1"/>
      <w:numFmt w:val="decimalZero"/>
      <w:suff w:val="nothing"/>
      <w:lvlText w:val="%1"/>
      <w:lvlJc w:val="left"/>
      <w:pPr>
        <w:ind w:left="420"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37">
    <w:nsid w:val="7DF14BAA"/>
    <w:multiLevelType w:val="multilevel"/>
    <w:tmpl w:val="7DF14BAA"/>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8">
    <w:nsid w:val="7F053FC9"/>
    <w:multiLevelType w:val="multilevel"/>
    <w:tmpl w:val="7F053FC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0"/>
  </w:num>
  <w:num w:numId="2">
    <w:abstractNumId w:val="0"/>
  </w:num>
  <w:num w:numId="3">
    <w:abstractNumId w:val="16"/>
    <w:lvlOverride w:ilvl="0">
      <w:startOverride w:val="1"/>
    </w:lvlOverride>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num>
  <w:num w:numId="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D0EFA"/>
    <w:rsid w:val="00026296"/>
    <w:rsid w:val="0021233B"/>
    <w:rsid w:val="00305B07"/>
    <w:rsid w:val="003B09D1"/>
    <w:rsid w:val="004A3D79"/>
    <w:rsid w:val="004D200B"/>
    <w:rsid w:val="005B6A9E"/>
    <w:rsid w:val="00632437"/>
    <w:rsid w:val="006A33B3"/>
    <w:rsid w:val="006C2C48"/>
    <w:rsid w:val="006D0EFA"/>
    <w:rsid w:val="00717BCC"/>
    <w:rsid w:val="00775CBE"/>
    <w:rsid w:val="008300D7"/>
    <w:rsid w:val="00A81F62"/>
    <w:rsid w:val="00A91A45"/>
    <w:rsid w:val="00B658B9"/>
    <w:rsid w:val="00C70384"/>
    <w:rsid w:val="00D3008E"/>
    <w:rsid w:val="00D34689"/>
    <w:rsid w:val="00F256EB"/>
    <w:rsid w:val="00F73DA8"/>
    <w:rsid w:val="17DD600F"/>
    <w:rsid w:val="386E3872"/>
    <w:rsid w:val="4704633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iPriority="0" w:semiHidden="0"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iPriority="0" w:semiHidden="0" w:name="annotation text"/>
    <w:lsdException w:qFormat="1" w:uiPriority="99" w:semiHidden="0" w:name="header"/>
    <w:lsdException w:qFormat="1" w:uiPriority="99" w:semiHidden="0" w:name="footer"/>
    <w:lsdException w:qFormat="1" w:uiPriority="0" w:semiHidden="0"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0" w:semiHidden="0" w:name="List Bullet"/>
    <w:lsdException w:uiPriority="99" w:name="List Number"/>
    <w:lsdException w:qFormat="1"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qFormat="1" w:uiPriority="0" w:semiHidden="0" w:name="Body Text Indent 2"/>
    <w:lsdException w:qFormat="1" w:uiPriority="0" w:semiHidden="0" w:name="Body Text Indent 3"/>
    <w:lsdException w:uiPriority="99" w:name="Block Text"/>
    <w:lsdException w:qFormat="1"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53"/>
    <w:qFormat/>
    <w:uiPriority w:val="9"/>
    <w:pPr>
      <w:keepNext/>
      <w:keepLines/>
      <w:numPr>
        <w:ilvl w:val="0"/>
        <w:numId w:val="1"/>
      </w:numPr>
      <w:snapToGrid w:val="0"/>
      <w:spacing w:before="340" w:after="330"/>
      <w:jc w:val="center"/>
      <w:outlineLvl w:val="0"/>
    </w:pPr>
    <w:rPr>
      <w:rFonts w:ascii="宋体" w:hAnsi="宋体" w:cs="宋体"/>
      <w:b/>
      <w:bCs/>
      <w:color w:val="000000"/>
      <w:kern w:val="44"/>
      <w:sz w:val="32"/>
      <w:szCs w:val="32"/>
    </w:rPr>
  </w:style>
  <w:style w:type="paragraph" w:styleId="3">
    <w:name w:val="heading 2"/>
    <w:basedOn w:val="1"/>
    <w:next w:val="1"/>
    <w:link w:val="54"/>
    <w:unhideWhenUsed/>
    <w:qFormat/>
    <w:uiPriority w:val="0"/>
    <w:pPr>
      <w:keepNext/>
      <w:keepLines/>
      <w:numPr>
        <w:ilvl w:val="1"/>
        <w:numId w:val="1"/>
      </w:numPr>
      <w:tabs>
        <w:tab w:val="left" w:pos="567"/>
      </w:tabs>
      <w:snapToGrid w:val="0"/>
      <w:spacing w:before="260" w:after="260" w:line="412" w:lineRule="auto"/>
      <w:outlineLvl w:val="1"/>
    </w:pPr>
    <w:rPr>
      <w:rFonts w:ascii="宋体" w:hAnsi="宋体" w:cs="宋体"/>
      <w:b/>
      <w:bCs/>
      <w:kern w:val="0"/>
    </w:rPr>
  </w:style>
  <w:style w:type="paragraph" w:styleId="4">
    <w:name w:val="heading 3"/>
    <w:basedOn w:val="1"/>
    <w:next w:val="1"/>
    <w:link w:val="55"/>
    <w:unhideWhenUsed/>
    <w:qFormat/>
    <w:uiPriority w:val="0"/>
    <w:pPr>
      <w:keepNext/>
      <w:keepLines/>
      <w:numPr>
        <w:ilvl w:val="2"/>
        <w:numId w:val="1"/>
      </w:numPr>
      <w:tabs>
        <w:tab w:val="left" w:pos="851"/>
      </w:tabs>
      <w:snapToGrid w:val="0"/>
      <w:outlineLvl w:val="2"/>
    </w:pPr>
    <w:rPr>
      <w:rFonts w:ascii="宋体" w:hAnsi="宋体" w:cs="宋体"/>
      <w:b/>
      <w:bCs/>
      <w:kern w:val="0"/>
    </w:rPr>
  </w:style>
  <w:style w:type="paragraph" w:styleId="5">
    <w:name w:val="heading 4"/>
    <w:basedOn w:val="1"/>
    <w:next w:val="1"/>
    <w:link w:val="56"/>
    <w:unhideWhenUsed/>
    <w:qFormat/>
    <w:uiPriority w:val="9"/>
    <w:pPr>
      <w:keepNext/>
      <w:keepLines/>
      <w:numPr>
        <w:ilvl w:val="3"/>
        <w:numId w:val="1"/>
      </w:numPr>
      <w:tabs>
        <w:tab w:val="left" w:pos="993"/>
      </w:tabs>
      <w:snapToGrid w:val="0"/>
      <w:ind w:left="1429"/>
      <w:outlineLvl w:val="3"/>
    </w:pPr>
    <w:rPr>
      <w:rFonts w:ascii="宋体" w:hAnsi="宋体" w:cs="宋体"/>
      <w:kern w:val="0"/>
    </w:rPr>
  </w:style>
  <w:style w:type="paragraph" w:styleId="6">
    <w:name w:val="heading 5"/>
    <w:basedOn w:val="1"/>
    <w:next w:val="1"/>
    <w:link w:val="57"/>
    <w:unhideWhenUsed/>
    <w:qFormat/>
    <w:uiPriority w:val="9"/>
    <w:pPr>
      <w:keepNext/>
      <w:keepLines/>
      <w:spacing w:before="280" w:after="290" w:line="374" w:lineRule="auto"/>
      <w:outlineLvl w:val="4"/>
    </w:pPr>
    <w:rPr>
      <w:rFonts w:cs="宋体"/>
      <w:b/>
      <w:bCs/>
      <w:kern w:val="0"/>
      <w:sz w:val="20"/>
      <w:szCs w:val="28"/>
    </w:rPr>
  </w:style>
  <w:style w:type="paragraph" w:styleId="7">
    <w:name w:val="heading 6"/>
    <w:basedOn w:val="1"/>
    <w:next w:val="1"/>
    <w:link w:val="58"/>
    <w:unhideWhenUsed/>
    <w:qFormat/>
    <w:uiPriority w:val="9"/>
    <w:pPr>
      <w:keepNext/>
      <w:keepLines/>
      <w:spacing w:before="240" w:after="64" w:line="319" w:lineRule="auto"/>
      <w:outlineLvl w:val="5"/>
    </w:pPr>
    <w:rPr>
      <w:rFonts w:ascii="Cambria" w:hAnsi="Cambria" w:cs="宋体"/>
      <w:b/>
      <w:bCs/>
      <w:kern w:val="0"/>
      <w:sz w:val="24"/>
      <w:szCs w:val="24"/>
    </w:rPr>
  </w:style>
  <w:style w:type="paragraph" w:styleId="8">
    <w:name w:val="heading 7"/>
    <w:basedOn w:val="1"/>
    <w:next w:val="1"/>
    <w:link w:val="59"/>
    <w:unhideWhenUsed/>
    <w:qFormat/>
    <w:uiPriority w:val="9"/>
    <w:pPr>
      <w:keepNext/>
      <w:keepLines/>
      <w:spacing w:before="240" w:after="64" w:line="319" w:lineRule="auto"/>
      <w:outlineLvl w:val="6"/>
    </w:pPr>
    <w:rPr>
      <w:b/>
      <w:bCs/>
      <w:kern w:val="0"/>
      <w:sz w:val="24"/>
      <w:szCs w:val="24"/>
    </w:rPr>
  </w:style>
  <w:style w:type="paragraph" w:styleId="9">
    <w:name w:val="heading 8"/>
    <w:basedOn w:val="1"/>
    <w:next w:val="1"/>
    <w:link w:val="60"/>
    <w:unhideWhenUsed/>
    <w:qFormat/>
    <w:uiPriority w:val="9"/>
    <w:pPr>
      <w:keepNext/>
      <w:keepLines/>
      <w:spacing w:before="240" w:after="64" w:line="319" w:lineRule="auto"/>
      <w:outlineLvl w:val="7"/>
    </w:pPr>
    <w:rPr>
      <w:rFonts w:ascii="Cambria" w:hAnsi="Cambria"/>
      <w:kern w:val="0"/>
      <w:sz w:val="24"/>
      <w:szCs w:val="24"/>
    </w:rPr>
  </w:style>
  <w:style w:type="paragraph" w:styleId="10">
    <w:name w:val="heading 9"/>
    <w:basedOn w:val="1"/>
    <w:next w:val="1"/>
    <w:link w:val="61"/>
    <w:unhideWhenUsed/>
    <w:qFormat/>
    <w:uiPriority w:val="9"/>
    <w:pPr>
      <w:keepNext/>
      <w:keepLines/>
      <w:spacing w:before="240" w:after="64" w:line="319" w:lineRule="auto"/>
      <w:outlineLvl w:val="8"/>
    </w:pPr>
    <w:rPr>
      <w:rFonts w:ascii="Cambria" w:hAnsi="Cambria"/>
      <w:kern w:val="0"/>
      <w:sz w:val="20"/>
    </w:rPr>
  </w:style>
  <w:style w:type="character" w:default="1" w:styleId="42">
    <w:name w:val="Default Paragraph Font"/>
    <w:semiHidden/>
    <w:unhideWhenUsed/>
    <w:qFormat/>
    <w:uiPriority w:val="1"/>
  </w:style>
  <w:style w:type="table" w:default="1" w:styleId="49">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74"/>
    <w:semiHidden/>
    <w:unhideWhenUsed/>
    <w:qFormat/>
    <w:uiPriority w:val="0"/>
    <w:rPr>
      <w:b/>
      <w:bCs/>
    </w:rPr>
  </w:style>
  <w:style w:type="paragraph" w:styleId="12">
    <w:name w:val="annotation text"/>
    <w:basedOn w:val="1"/>
    <w:link w:val="63"/>
    <w:unhideWhenUsed/>
    <w:qFormat/>
    <w:uiPriority w:val="0"/>
    <w:pPr>
      <w:jc w:val="left"/>
    </w:pPr>
    <w:rPr>
      <w:kern w:val="0"/>
      <w:sz w:val="20"/>
      <w:szCs w:val="20"/>
    </w:rPr>
  </w:style>
  <w:style w:type="paragraph" w:styleId="13">
    <w:name w:val="toc 7"/>
    <w:basedOn w:val="1"/>
    <w:next w:val="1"/>
    <w:unhideWhenUsed/>
    <w:qFormat/>
    <w:uiPriority w:val="39"/>
    <w:pPr>
      <w:ind w:left="1260"/>
      <w:jc w:val="left"/>
    </w:pPr>
    <w:rPr>
      <w:rFonts w:ascii="Times New Roman" w:hAnsi="Times New Roman"/>
      <w:sz w:val="18"/>
      <w:szCs w:val="18"/>
    </w:rPr>
  </w:style>
  <w:style w:type="paragraph" w:styleId="14">
    <w:name w:val="index 8"/>
    <w:basedOn w:val="1"/>
    <w:next w:val="1"/>
    <w:unhideWhenUsed/>
    <w:qFormat/>
    <w:uiPriority w:val="0"/>
    <w:rPr>
      <w:rFonts w:ascii="Times New Roman" w:hAnsi="Times New Roman"/>
      <w:szCs w:val="24"/>
    </w:rPr>
  </w:style>
  <w:style w:type="paragraph" w:styleId="15">
    <w:name w:val="Normal Indent"/>
    <w:basedOn w:val="1"/>
    <w:unhideWhenUsed/>
    <w:qFormat/>
    <w:uiPriority w:val="0"/>
    <w:pPr>
      <w:ind w:firstLine="420" w:firstLineChars="200"/>
    </w:pPr>
    <w:rPr>
      <w:rFonts w:ascii="Times New Roman" w:hAnsi="Times New Roman"/>
      <w:szCs w:val="24"/>
    </w:rPr>
  </w:style>
  <w:style w:type="paragraph" w:styleId="16">
    <w:name w:val="caption"/>
    <w:basedOn w:val="1"/>
    <w:next w:val="1"/>
    <w:unhideWhenUsed/>
    <w:qFormat/>
    <w:uiPriority w:val="35"/>
    <w:rPr>
      <w:rFonts w:ascii="Cambria" w:hAnsi="Cambria" w:eastAsia="黑体"/>
      <w:sz w:val="20"/>
      <w:szCs w:val="20"/>
    </w:rPr>
  </w:style>
  <w:style w:type="paragraph" w:styleId="17">
    <w:name w:val="List Bullet"/>
    <w:basedOn w:val="1"/>
    <w:unhideWhenUsed/>
    <w:qFormat/>
    <w:uiPriority w:val="0"/>
    <w:pPr>
      <w:numPr>
        <w:ilvl w:val="0"/>
        <w:numId w:val="2"/>
      </w:numPr>
    </w:pPr>
  </w:style>
  <w:style w:type="paragraph" w:styleId="18">
    <w:name w:val="Document Map"/>
    <w:basedOn w:val="1"/>
    <w:link w:val="72"/>
    <w:unhideWhenUsed/>
    <w:qFormat/>
    <w:uiPriority w:val="99"/>
    <w:rPr>
      <w:rFonts w:ascii="宋体"/>
      <w:kern w:val="0"/>
      <w:sz w:val="18"/>
      <w:szCs w:val="18"/>
    </w:rPr>
  </w:style>
  <w:style w:type="paragraph" w:styleId="19">
    <w:name w:val="Body Text"/>
    <w:basedOn w:val="1"/>
    <w:link w:val="116"/>
    <w:unhideWhenUsed/>
    <w:qFormat/>
    <w:uiPriority w:val="0"/>
    <w:pPr>
      <w:spacing w:after="120" w:line="360" w:lineRule="auto"/>
    </w:pPr>
    <w:rPr>
      <w:kern w:val="0"/>
      <w:sz w:val="20"/>
      <w:szCs w:val="20"/>
    </w:rPr>
  </w:style>
  <w:style w:type="paragraph" w:styleId="20">
    <w:name w:val="Body Text Indent"/>
    <w:basedOn w:val="1"/>
    <w:link w:val="66"/>
    <w:unhideWhenUsed/>
    <w:qFormat/>
    <w:uiPriority w:val="0"/>
    <w:pPr>
      <w:spacing w:after="120"/>
      <w:ind w:left="420" w:leftChars="200"/>
    </w:pPr>
    <w:rPr>
      <w:kern w:val="0"/>
      <w:sz w:val="20"/>
    </w:rPr>
  </w:style>
  <w:style w:type="paragraph" w:styleId="21">
    <w:name w:val="List 2"/>
    <w:basedOn w:val="1"/>
    <w:unhideWhenUsed/>
    <w:qFormat/>
    <w:uiPriority w:val="0"/>
    <w:pPr>
      <w:ind w:left="840" w:hanging="420"/>
    </w:pPr>
    <w:rPr>
      <w:rFonts w:ascii="Times New Roman" w:hAnsi="Times New Roman"/>
      <w:szCs w:val="24"/>
    </w:rPr>
  </w:style>
  <w:style w:type="paragraph" w:styleId="22">
    <w:name w:val="toc 5"/>
    <w:basedOn w:val="1"/>
    <w:next w:val="1"/>
    <w:unhideWhenUsed/>
    <w:qFormat/>
    <w:uiPriority w:val="39"/>
    <w:pPr>
      <w:ind w:left="32" w:leftChars="-85" w:hanging="210" w:hangingChars="100"/>
      <w:jc w:val="center"/>
    </w:pPr>
    <w:rPr>
      <w:rFonts w:ascii="Times New Roman" w:hAnsi="Times New Roman"/>
      <w:sz w:val="18"/>
      <w:szCs w:val="18"/>
    </w:rPr>
  </w:style>
  <w:style w:type="paragraph" w:styleId="23">
    <w:name w:val="toc 3"/>
    <w:basedOn w:val="1"/>
    <w:next w:val="1"/>
    <w:unhideWhenUsed/>
    <w:qFormat/>
    <w:uiPriority w:val="39"/>
    <w:pPr>
      <w:ind w:left="420"/>
      <w:jc w:val="left"/>
    </w:pPr>
    <w:rPr>
      <w:rFonts w:ascii="Times New Roman" w:hAnsi="Times New Roman"/>
      <w:i/>
      <w:iCs/>
      <w:sz w:val="20"/>
      <w:szCs w:val="20"/>
    </w:rPr>
  </w:style>
  <w:style w:type="paragraph" w:styleId="24">
    <w:name w:val="Plain Text"/>
    <w:basedOn w:val="1"/>
    <w:link w:val="73"/>
    <w:unhideWhenUsed/>
    <w:qFormat/>
    <w:uiPriority w:val="0"/>
    <w:pPr>
      <w:adjustRightInd w:val="0"/>
      <w:spacing w:line="360" w:lineRule="auto"/>
    </w:pPr>
    <w:rPr>
      <w:rFonts w:ascii="宋体" w:hAnsi="Courier New"/>
      <w:kern w:val="0"/>
      <w:sz w:val="20"/>
      <w:szCs w:val="20"/>
    </w:rPr>
  </w:style>
  <w:style w:type="paragraph" w:styleId="25">
    <w:name w:val="toc 8"/>
    <w:basedOn w:val="1"/>
    <w:next w:val="1"/>
    <w:unhideWhenUsed/>
    <w:qFormat/>
    <w:uiPriority w:val="39"/>
    <w:pPr>
      <w:ind w:left="1470"/>
      <w:jc w:val="left"/>
    </w:pPr>
    <w:rPr>
      <w:rFonts w:ascii="Times New Roman" w:hAnsi="Times New Roman"/>
      <w:sz w:val="18"/>
      <w:szCs w:val="18"/>
    </w:rPr>
  </w:style>
  <w:style w:type="paragraph" w:styleId="26">
    <w:name w:val="Date"/>
    <w:basedOn w:val="1"/>
    <w:next w:val="1"/>
    <w:link w:val="68"/>
    <w:unhideWhenUsed/>
    <w:qFormat/>
    <w:uiPriority w:val="99"/>
    <w:pPr>
      <w:ind w:left="100" w:leftChars="2500"/>
    </w:pPr>
    <w:rPr>
      <w:kern w:val="0"/>
      <w:sz w:val="20"/>
    </w:rPr>
  </w:style>
  <w:style w:type="paragraph" w:styleId="27">
    <w:name w:val="Body Text Indent 2"/>
    <w:basedOn w:val="1"/>
    <w:link w:val="70"/>
    <w:unhideWhenUsed/>
    <w:qFormat/>
    <w:uiPriority w:val="0"/>
    <w:pPr>
      <w:spacing w:after="120" w:line="480" w:lineRule="auto"/>
      <w:ind w:left="420" w:leftChars="200"/>
    </w:pPr>
    <w:rPr>
      <w:rFonts w:ascii="Times New Roman" w:hAnsi="Times New Roman"/>
      <w:kern w:val="0"/>
      <w:sz w:val="20"/>
      <w:szCs w:val="24"/>
    </w:rPr>
  </w:style>
  <w:style w:type="paragraph" w:styleId="28">
    <w:name w:val="Balloon Text"/>
    <w:basedOn w:val="1"/>
    <w:link w:val="75"/>
    <w:unhideWhenUsed/>
    <w:qFormat/>
    <w:uiPriority w:val="99"/>
    <w:rPr>
      <w:kern w:val="0"/>
      <w:sz w:val="18"/>
      <w:szCs w:val="18"/>
    </w:rPr>
  </w:style>
  <w:style w:type="paragraph" w:styleId="29">
    <w:name w:val="footer"/>
    <w:basedOn w:val="1"/>
    <w:link w:val="52"/>
    <w:unhideWhenUsed/>
    <w:qFormat/>
    <w:uiPriority w:val="99"/>
    <w:pPr>
      <w:tabs>
        <w:tab w:val="center" w:pos="4153"/>
        <w:tab w:val="right" w:pos="8306"/>
      </w:tabs>
      <w:snapToGrid w:val="0"/>
      <w:jc w:val="left"/>
    </w:pPr>
    <w:rPr>
      <w:sz w:val="18"/>
      <w:szCs w:val="18"/>
    </w:rPr>
  </w:style>
  <w:style w:type="paragraph" w:styleId="30">
    <w:name w:val="header"/>
    <w:basedOn w:val="1"/>
    <w:link w:val="51"/>
    <w:unhideWhenUsed/>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unhideWhenUsed/>
    <w:qFormat/>
    <w:uiPriority w:val="39"/>
    <w:pPr>
      <w:spacing w:before="120" w:after="120"/>
      <w:jc w:val="left"/>
    </w:pPr>
    <w:rPr>
      <w:rFonts w:ascii="Times New Roman" w:hAnsi="Times New Roman"/>
      <w:b/>
      <w:bCs/>
      <w:caps/>
      <w:sz w:val="20"/>
      <w:szCs w:val="20"/>
    </w:rPr>
  </w:style>
  <w:style w:type="paragraph" w:styleId="32">
    <w:name w:val="toc 4"/>
    <w:basedOn w:val="1"/>
    <w:next w:val="1"/>
    <w:unhideWhenUsed/>
    <w:qFormat/>
    <w:uiPriority w:val="39"/>
    <w:pPr>
      <w:jc w:val="center"/>
    </w:pPr>
    <w:rPr>
      <w:rFonts w:ascii="宋体" w:hAnsi="宋体"/>
    </w:rPr>
  </w:style>
  <w:style w:type="paragraph" w:styleId="33">
    <w:name w:val="index heading"/>
    <w:basedOn w:val="1"/>
    <w:next w:val="34"/>
    <w:unhideWhenUsed/>
    <w:qFormat/>
    <w:uiPriority w:val="0"/>
    <w:rPr>
      <w:rFonts w:ascii="Times New Roman" w:hAnsi="Times New Roman"/>
      <w:szCs w:val="24"/>
    </w:rPr>
  </w:style>
  <w:style w:type="paragraph" w:styleId="34">
    <w:name w:val="index 1"/>
    <w:basedOn w:val="1"/>
    <w:next w:val="1"/>
    <w:unhideWhenUsed/>
    <w:qFormat/>
    <w:uiPriority w:val="0"/>
    <w:rPr>
      <w:szCs w:val="22"/>
    </w:rPr>
  </w:style>
  <w:style w:type="paragraph" w:styleId="35">
    <w:name w:val="Subtitle"/>
    <w:basedOn w:val="1"/>
    <w:next w:val="1"/>
    <w:link w:val="67"/>
    <w:qFormat/>
    <w:uiPriority w:val="11"/>
    <w:pPr>
      <w:spacing w:before="240" w:after="60" w:line="312" w:lineRule="auto"/>
      <w:jc w:val="center"/>
      <w:outlineLvl w:val="1"/>
    </w:pPr>
    <w:rPr>
      <w:rFonts w:ascii="Cambria" w:hAnsi="Cambria"/>
      <w:b/>
      <w:bCs/>
      <w:kern w:val="28"/>
      <w:sz w:val="32"/>
      <w:szCs w:val="32"/>
    </w:rPr>
  </w:style>
  <w:style w:type="paragraph" w:styleId="36">
    <w:name w:val="toc 6"/>
    <w:basedOn w:val="1"/>
    <w:next w:val="1"/>
    <w:unhideWhenUsed/>
    <w:qFormat/>
    <w:uiPriority w:val="39"/>
    <w:pPr>
      <w:ind w:left="1050"/>
      <w:jc w:val="left"/>
    </w:pPr>
    <w:rPr>
      <w:rFonts w:ascii="Times New Roman" w:hAnsi="Times New Roman"/>
      <w:sz w:val="18"/>
      <w:szCs w:val="18"/>
    </w:rPr>
  </w:style>
  <w:style w:type="paragraph" w:styleId="37">
    <w:name w:val="Body Text Indent 3"/>
    <w:basedOn w:val="1"/>
    <w:link w:val="71"/>
    <w:unhideWhenUsed/>
    <w:qFormat/>
    <w:uiPriority w:val="0"/>
    <w:pPr>
      <w:widowControl/>
      <w:spacing w:after="120" w:line="360" w:lineRule="auto"/>
      <w:ind w:firstLine="420"/>
      <w:jc w:val="left"/>
    </w:pPr>
    <w:rPr>
      <w:rFonts w:ascii="Book Antiqua" w:hAnsi="Book Antiqua"/>
      <w:kern w:val="0"/>
      <w:sz w:val="24"/>
      <w:szCs w:val="20"/>
    </w:rPr>
  </w:style>
  <w:style w:type="paragraph" w:styleId="38">
    <w:name w:val="toc 2"/>
    <w:basedOn w:val="1"/>
    <w:next w:val="1"/>
    <w:unhideWhenUsed/>
    <w:qFormat/>
    <w:uiPriority w:val="39"/>
    <w:pPr>
      <w:jc w:val="center"/>
    </w:pPr>
    <w:rPr>
      <w:rFonts w:ascii="Times New Roman" w:hAnsi="Times New Roman"/>
      <w:smallCaps/>
      <w:sz w:val="20"/>
      <w:szCs w:val="20"/>
    </w:rPr>
  </w:style>
  <w:style w:type="paragraph" w:styleId="39">
    <w:name w:val="toc 9"/>
    <w:basedOn w:val="1"/>
    <w:next w:val="1"/>
    <w:unhideWhenUsed/>
    <w:qFormat/>
    <w:uiPriority w:val="39"/>
    <w:pPr>
      <w:ind w:left="1680"/>
      <w:jc w:val="left"/>
    </w:pPr>
    <w:rPr>
      <w:rFonts w:ascii="Times New Roman" w:hAnsi="Times New Roman"/>
      <w:sz w:val="18"/>
      <w:szCs w:val="18"/>
    </w:rPr>
  </w:style>
  <w:style w:type="paragraph" w:styleId="40">
    <w:name w:val="Body Text 2"/>
    <w:basedOn w:val="1"/>
    <w:link w:val="69"/>
    <w:unhideWhenUsed/>
    <w:qFormat/>
    <w:uiPriority w:val="0"/>
    <w:pPr>
      <w:spacing w:after="120" w:line="480" w:lineRule="auto"/>
    </w:pPr>
    <w:rPr>
      <w:kern w:val="0"/>
      <w:sz w:val="20"/>
      <w:szCs w:val="20"/>
    </w:rPr>
  </w:style>
  <w:style w:type="paragraph" w:styleId="41">
    <w:name w:val="Title"/>
    <w:basedOn w:val="1"/>
    <w:next w:val="1"/>
    <w:link w:val="64"/>
    <w:qFormat/>
    <w:uiPriority w:val="10"/>
    <w:pPr>
      <w:spacing w:before="240" w:after="60"/>
      <w:jc w:val="center"/>
      <w:outlineLvl w:val="0"/>
    </w:pPr>
    <w:rPr>
      <w:rFonts w:ascii="Cambria" w:hAnsi="Cambria"/>
      <w:b/>
      <w:bCs/>
      <w:kern w:val="0"/>
      <w:sz w:val="32"/>
      <w:szCs w:val="32"/>
    </w:rPr>
  </w:style>
  <w:style w:type="character" w:styleId="43">
    <w:name w:val="Strong"/>
    <w:qFormat/>
    <w:uiPriority w:val="22"/>
    <w:rPr>
      <w:b/>
      <w:bCs/>
    </w:rPr>
  </w:style>
  <w:style w:type="character" w:styleId="44">
    <w:name w:val="page number"/>
    <w:basedOn w:val="42"/>
    <w:qFormat/>
    <w:uiPriority w:val="0"/>
  </w:style>
  <w:style w:type="character" w:styleId="45">
    <w:name w:val="FollowedHyperlink"/>
    <w:semiHidden/>
    <w:unhideWhenUsed/>
    <w:qFormat/>
    <w:uiPriority w:val="99"/>
    <w:rPr>
      <w:color w:val="800080"/>
      <w:u w:val="single"/>
    </w:rPr>
  </w:style>
  <w:style w:type="character" w:styleId="46">
    <w:name w:val="Emphasis"/>
    <w:qFormat/>
    <w:uiPriority w:val="20"/>
    <w:rPr>
      <w:i/>
      <w:iCs/>
    </w:rPr>
  </w:style>
  <w:style w:type="character" w:styleId="47">
    <w:name w:val="Hyperlink"/>
    <w:unhideWhenUsed/>
    <w:qFormat/>
    <w:uiPriority w:val="0"/>
    <w:rPr>
      <w:color w:val="0000FF"/>
      <w:u w:val="single"/>
    </w:rPr>
  </w:style>
  <w:style w:type="character" w:styleId="48">
    <w:name w:val="annotation reference"/>
    <w:semiHidden/>
    <w:unhideWhenUsed/>
    <w:qFormat/>
    <w:uiPriority w:val="0"/>
    <w:rPr>
      <w:sz w:val="21"/>
      <w:szCs w:val="21"/>
    </w:rPr>
  </w:style>
  <w:style w:type="table" w:styleId="50">
    <w:name w:val="Table Grid"/>
    <w:basedOn w:val="49"/>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51">
    <w:name w:val="页眉 Char"/>
    <w:basedOn w:val="42"/>
    <w:link w:val="30"/>
    <w:qFormat/>
    <w:uiPriority w:val="99"/>
    <w:rPr>
      <w:sz w:val="18"/>
      <w:szCs w:val="18"/>
    </w:rPr>
  </w:style>
  <w:style w:type="character" w:customStyle="1" w:styleId="52">
    <w:name w:val="页脚 Char"/>
    <w:basedOn w:val="42"/>
    <w:link w:val="29"/>
    <w:qFormat/>
    <w:uiPriority w:val="99"/>
    <w:rPr>
      <w:sz w:val="18"/>
      <w:szCs w:val="18"/>
    </w:rPr>
  </w:style>
  <w:style w:type="character" w:customStyle="1" w:styleId="53">
    <w:name w:val="标题 1 Char"/>
    <w:basedOn w:val="42"/>
    <w:link w:val="2"/>
    <w:qFormat/>
    <w:uiPriority w:val="9"/>
    <w:rPr>
      <w:rFonts w:ascii="宋体" w:hAnsi="宋体" w:eastAsia="宋体" w:cs="宋体"/>
      <w:b/>
      <w:bCs/>
      <w:color w:val="000000"/>
      <w:kern w:val="44"/>
      <w:sz w:val="32"/>
      <w:szCs w:val="32"/>
    </w:rPr>
  </w:style>
  <w:style w:type="character" w:customStyle="1" w:styleId="54">
    <w:name w:val="标题 2 Char"/>
    <w:basedOn w:val="42"/>
    <w:link w:val="3"/>
    <w:qFormat/>
    <w:uiPriority w:val="0"/>
    <w:rPr>
      <w:rFonts w:ascii="宋体" w:hAnsi="宋体" w:eastAsia="宋体" w:cs="宋体"/>
      <w:b/>
      <w:bCs/>
      <w:kern w:val="0"/>
      <w:szCs w:val="21"/>
    </w:rPr>
  </w:style>
  <w:style w:type="character" w:customStyle="1" w:styleId="55">
    <w:name w:val="标题 3 Char"/>
    <w:basedOn w:val="42"/>
    <w:link w:val="4"/>
    <w:qFormat/>
    <w:uiPriority w:val="0"/>
    <w:rPr>
      <w:rFonts w:ascii="宋体" w:hAnsi="宋体" w:eastAsia="宋体" w:cs="宋体"/>
      <w:b/>
      <w:bCs/>
      <w:kern w:val="0"/>
      <w:szCs w:val="21"/>
    </w:rPr>
  </w:style>
  <w:style w:type="character" w:customStyle="1" w:styleId="56">
    <w:name w:val="标题 4 Char"/>
    <w:basedOn w:val="42"/>
    <w:link w:val="5"/>
    <w:qFormat/>
    <w:uiPriority w:val="9"/>
    <w:rPr>
      <w:rFonts w:ascii="宋体" w:hAnsi="宋体" w:eastAsia="宋体" w:cs="宋体"/>
      <w:kern w:val="0"/>
      <w:szCs w:val="21"/>
    </w:rPr>
  </w:style>
  <w:style w:type="character" w:customStyle="1" w:styleId="57">
    <w:name w:val="标题 5 Char"/>
    <w:basedOn w:val="42"/>
    <w:link w:val="6"/>
    <w:qFormat/>
    <w:uiPriority w:val="9"/>
    <w:rPr>
      <w:rFonts w:ascii="Calibri" w:hAnsi="Calibri" w:eastAsia="宋体" w:cs="宋体"/>
      <w:b/>
      <w:bCs/>
      <w:kern w:val="0"/>
      <w:sz w:val="20"/>
      <w:szCs w:val="28"/>
    </w:rPr>
  </w:style>
  <w:style w:type="character" w:customStyle="1" w:styleId="58">
    <w:name w:val="标题 6 Char"/>
    <w:basedOn w:val="42"/>
    <w:link w:val="7"/>
    <w:qFormat/>
    <w:uiPriority w:val="9"/>
    <w:rPr>
      <w:rFonts w:ascii="Cambria" w:hAnsi="Cambria" w:eastAsia="宋体" w:cs="宋体"/>
      <w:b/>
      <w:bCs/>
      <w:kern w:val="0"/>
      <w:sz w:val="24"/>
      <w:szCs w:val="24"/>
    </w:rPr>
  </w:style>
  <w:style w:type="character" w:customStyle="1" w:styleId="59">
    <w:name w:val="标题 7 Char"/>
    <w:basedOn w:val="42"/>
    <w:link w:val="8"/>
    <w:qFormat/>
    <w:uiPriority w:val="9"/>
    <w:rPr>
      <w:rFonts w:ascii="Calibri" w:hAnsi="Calibri" w:eastAsia="宋体" w:cs="Times New Roman"/>
      <w:b/>
      <w:bCs/>
      <w:kern w:val="0"/>
      <w:sz w:val="24"/>
      <w:szCs w:val="24"/>
    </w:rPr>
  </w:style>
  <w:style w:type="character" w:customStyle="1" w:styleId="60">
    <w:name w:val="标题 8 Char"/>
    <w:basedOn w:val="42"/>
    <w:link w:val="9"/>
    <w:qFormat/>
    <w:uiPriority w:val="9"/>
    <w:rPr>
      <w:rFonts w:ascii="Cambria" w:hAnsi="Cambria" w:eastAsia="宋体" w:cs="Times New Roman"/>
      <w:kern w:val="0"/>
      <w:sz w:val="24"/>
      <w:szCs w:val="24"/>
    </w:rPr>
  </w:style>
  <w:style w:type="character" w:customStyle="1" w:styleId="61">
    <w:name w:val="标题 9 Char"/>
    <w:basedOn w:val="42"/>
    <w:link w:val="10"/>
    <w:qFormat/>
    <w:uiPriority w:val="9"/>
    <w:rPr>
      <w:rFonts w:ascii="Cambria" w:hAnsi="Cambria" w:eastAsia="宋体" w:cs="Times New Roman"/>
      <w:kern w:val="0"/>
      <w:sz w:val="20"/>
      <w:szCs w:val="21"/>
    </w:rPr>
  </w:style>
  <w:style w:type="character" w:customStyle="1" w:styleId="62">
    <w:name w:val="标题 4 Char1"/>
    <w:qFormat/>
    <w:uiPriority w:val="0"/>
    <w:rPr>
      <w:rFonts w:hint="default" w:ascii="Arial" w:hAnsi="Arial" w:cs="Arial"/>
      <w:b/>
      <w:bCs/>
      <w:spacing w:val="5"/>
      <w:kern w:val="20"/>
      <w:sz w:val="28"/>
      <w:szCs w:val="28"/>
    </w:rPr>
  </w:style>
  <w:style w:type="character" w:customStyle="1" w:styleId="63">
    <w:name w:val="批注文字 Char"/>
    <w:basedOn w:val="42"/>
    <w:link w:val="12"/>
    <w:qFormat/>
    <w:uiPriority w:val="0"/>
    <w:rPr>
      <w:rFonts w:ascii="Calibri" w:hAnsi="Calibri" w:eastAsia="宋体" w:cs="Times New Roman"/>
      <w:kern w:val="0"/>
      <w:sz w:val="20"/>
      <w:szCs w:val="20"/>
    </w:rPr>
  </w:style>
  <w:style w:type="character" w:customStyle="1" w:styleId="64">
    <w:name w:val="标题 Char"/>
    <w:basedOn w:val="42"/>
    <w:link w:val="41"/>
    <w:qFormat/>
    <w:uiPriority w:val="10"/>
    <w:rPr>
      <w:rFonts w:ascii="Cambria" w:hAnsi="Cambria" w:eastAsia="宋体" w:cs="Times New Roman"/>
      <w:b/>
      <w:bCs/>
      <w:kern w:val="0"/>
      <w:sz w:val="32"/>
      <w:szCs w:val="32"/>
    </w:rPr>
  </w:style>
  <w:style w:type="character" w:customStyle="1" w:styleId="65">
    <w:name w:val="正文文本 Char"/>
    <w:basedOn w:val="42"/>
    <w:semiHidden/>
    <w:qFormat/>
    <w:uiPriority w:val="0"/>
    <w:rPr>
      <w:rFonts w:ascii="Calibri" w:hAnsi="Calibri" w:eastAsia="宋体" w:cs="Times New Roman"/>
      <w:szCs w:val="21"/>
    </w:rPr>
  </w:style>
  <w:style w:type="character" w:customStyle="1" w:styleId="66">
    <w:name w:val="正文文本缩进 Char"/>
    <w:basedOn w:val="42"/>
    <w:link w:val="20"/>
    <w:qFormat/>
    <w:uiPriority w:val="0"/>
    <w:rPr>
      <w:rFonts w:ascii="Calibri" w:hAnsi="Calibri" w:eastAsia="宋体" w:cs="Times New Roman"/>
      <w:kern w:val="0"/>
      <w:sz w:val="20"/>
      <w:szCs w:val="21"/>
    </w:rPr>
  </w:style>
  <w:style w:type="character" w:customStyle="1" w:styleId="67">
    <w:name w:val="副标题 Char"/>
    <w:basedOn w:val="42"/>
    <w:link w:val="35"/>
    <w:qFormat/>
    <w:uiPriority w:val="11"/>
    <w:rPr>
      <w:rFonts w:ascii="Cambria" w:hAnsi="Cambria" w:eastAsia="宋体" w:cs="Times New Roman"/>
      <w:b/>
      <w:bCs/>
      <w:kern w:val="28"/>
      <w:sz w:val="32"/>
      <w:szCs w:val="32"/>
    </w:rPr>
  </w:style>
  <w:style w:type="character" w:customStyle="1" w:styleId="68">
    <w:name w:val="日期 Char"/>
    <w:basedOn w:val="42"/>
    <w:link w:val="26"/>
    <w:qFormat/>
    <w:uiPriority w:val="99"/>
    <w:rPr>
      <w:rFonts w:ascii="Calibri" w:hAnsi="Calibri" w:eastAsia="宋体" w:cs="Times New Roman"/>
      <w:kern w:val="0"/>
      <w:sz w:val="20"/>
      <w:szCs w:val="21"/>
    </w:rPr>
  </w:style>
  <w:style w:type="character" w:customStyle="1" w:styleId="69">
    <w:name w:val="正文文本 2 Char"/>
    <w:basedOn w:val="42"/>
    <w:link w:val="40"/>
    <w:qFormat/>
    <w:uiPriority w:val="0"/>
    <w:rPr>
      <w:rFonts w:ascii="Calibri" w:hAnsi="Calibri" w:eastAsia="宋体" w:cs="Times New Roman"/>
      <w:kern w:val="0"/>
      <w:sz w:val="20"/>
      <w:szCs w:val="20"/>
    </w:rPr>
  </w:style>
  <w:style w:type="character" w:customStyle="1" w:styleId="70">
    <w:name w:val="正文文本缩进 2 Char"/>
    <w:basedOn w:val="42"/>
    <w:link w:val="27"/>
    <w:qFormat/>
    <w:uiPriority w:val="0"/>
    <w:rPr>
      <w:rFonts w:ascii="Times New Roman" w:hAnsi="Times New Roman" w:eastAsia="宋体" w:cs="Times New Roman"/>
      <w:kern w:val="0"/>
      <w:sz w:val="20"/>
      <w:szCs w:val="24"/>
    </w:rPr>
  </w:style>
  <w:style w:type="character" w:customStyle="1" w:styleId="71">
    <w:name w:val="正文文本缩进 3 Char"/>
    <w:basedOn w:val="42"/>
    <w:link w:val="37"/>
    <w:qFormat/>
    <w:uiPriority w:val="0"/>
    <w:rPr>
      <w:rFonts w:ascii="Book Antiqua" w:hAnsi="Book Antiqua" w:eastAsia="宋体" w:cs="Times New Roman"/>
      <w:kern w:val="0"/>
      <w:sz w:val="24"/>
      <w:szCs w:val="20"/>
    </w:rPr>
  </w:style>
  <w:style w:type="character" w:customStyle="1" w:styleId="72">
    <w:name w:val="文档结构图 Char"/>
    <w:basedOn w:val="42"/>
    <w:link w:val="18"/>
    <w:qFormat/>
    <w:uiPriority w:val="99"/>
    <w:rPr>
      <w:rFonts w:ascii="宋体" w:hAnsi="Calibri" w:eastAsia="宋体" w:cs="Times New Roman"/>
      <w:kern w:val="0"/>
      <w:sz w:val="18"/>
      <w:szCs w:val="18"/>
    </w:rPr>
  </w:style>
  <w:style w:type="character" w:customStyle="1" w:styleId="73">
    <w:name w:val="纯文本 Char"/>
    <w:basedOn w:val="42"/>
    <w:link w:val="24"/>
    <w:qFormat/>
    <w:uiPriority w:val="0"/>
    <w:rPr>
      <w:rFonts w:ascii="宋体" w:hAnsi="Courier New" w:eastAsia="宋体" w:cs="Times New Roman"/>
      <w:kern w:val="0"/>
      <w:sz w:val="20"/>
      <w:szCs w:val="20"/>
    </w:rPr>
  </w:style>
  <w:style w:type="character" w:customStyle="1" w:styleId="74">
    <w:name w:val="批注主题 Char"/>
    <w:basedOn w:val="63"/>
    <w:link w:val="11"/>
    <w:semiHidden/>
    <w:qFormat/>
    <w:uiPriority w:val="0"/>
    <w:rPr>
      <w:rFonts w:ascii="Calibri" w:hAnsi="Calibri" w:eastAsia="宋体" w:cs="Times New Roman"/>
      <w:b/>
      <w:bCs/>
      <w:kern w:val="0"/>
      <w:sz w:val="20"/>
      <w:szCs w:val="20"/>
    </w:rPr>
  </w:style>
  <w:style w:type="character" w:customStyle="1" w:styleId="75">
    <w:name w:val="批注框文本 Char"/>
    <w:basedOn w:val="42"/>
    <w:link w:val="28"/>
    <w:qFormat/>
    <w:uiPriority w:val="99"/>
    <w:rPr>
      <w:rFonts w:ascii="Calibri" w:hAnsi="Calibri" w:eastAsia="宋体" w:cs="Times New Roman"/>
      <w:kern w:val="0"/>
      <w:sz w:val="18"/>
      <w:szCs w:val="18"/>
    </w:rPr>
  </w:style>
  <w:style w:type="character" w:customStyle="1" w:styleId="76">
    <w:name w:val="无间隔 Char"/>
    <w:link w:val="77"/>
    <w:qFormat/>
    <w:locked/>
    <w:uiPriority w:val="1"/>
    <w:rPr>
      <w:szCs w:val="21"/>
    </w:rPr>
  </w:style>
  <w:style w:type="paragraph" w:styleId="77">
    <w:name w:val="No Spacing"/>
    <w:link w:val="76"/>
    <w:qFormat/>
    <w:uiPriority w:val="1"/>
    <w:pPr>
      <w:widowControl w:val="0"/>
      <w:jc w:val="both"/>
    </w:pPr>
    <w:rPr>
      <w:rFonts w:asciiTheme="minorHAnsi" w:hAnsiTheme="minorHAnsi" w:eastAsiaTheme="minorEastAsia" w:cstheme="minorBidi"/>
      <w:kern w:val="2"/>
      <w:sz w:val="21"/>
      <w:szCs w:val="21"/>
      <w:lang w:val="en-US" w:eastAsia="zh-CN" w:bidi="ar-SA"/>
    </w:rPr>
  </w:style>
  <w:style w:type="paragraph" w:styleId="78">
    <w:name w:val="List Paragraph"/>
    <w:basedOn w:val="1"/>
    <w:qFormat/>
    <w:uiPriority w:val="34"/>
    <w:pPr>
      <w:ind w:firstLine="420" w:firstLineChars="200"/>
    </w:pPr>
  </w:style>
  <w:style w:type="paragraph" w:styleId="79">
    <w:name w:val="Quote"/>
    <w:basedOn w:val="1"/>
    <w:next w:val="1"/>
    <w:link w:val="80"/>
    <w:qFormat/>
    <w:uiPriority w:val="29"/>
    <w:rPr>
      <w:i/>
      <w:iCs/>
      <w:color w:val="000000"/>
      <w:kern w:val="0"/>
      <w:sz w:val="20"/>
      <w:szCs w:val="20"/>
    </w:rPr>
  </w:style>
  <w:style w:type="character" w:customStyle="1" w:styleId="80">
    <w:name w:val="引用 Char"/>
    <w:basedOn w:val="42"/>
    <w:link w:val="79"/>
    <w:qFormat/>
    <w:uiPriority w:val="29"/>
    <w:rPr>
      <w:rFonts w:ascii="Calibri" w:hAnsi="Calibri" w:eastAsia="宋体" w:cs="Times New Roman"/>
      <w:i/>
      <w:iCs/>
      <w:color w:val="000000"/>
      <w:kern w:val="0"/>
      <w:sz w:val="20"/>
      <w:szCs w:val="20"/>
    </w:rPr>
  </w:style>
  <w:style w:type="paragraph" w:styleId="81">
    <w:name w:val="Intense Quote"/>
    <w:basedOn w:val="1"/>
    <w:next w:val="1"/>
    <w:link w:val="82"/>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82">
    <w:name w:val="明显引用 Char"/>
    <w:basedOn w:val="42"/>
    <w:link w:val="81"/>
    <w:qFormat/>
    <w:uiPriority w:val="30"/>
    <w:rPr>
      <w:rFonts w:ascii="Calibri" w:hAnsi="Calibri" w:eastAsia="宋体" w:cs="Times New Roman"/>
      <w:b/>
      <w:bCs/>
      <w:i/>
      <w:iCs/>
      <w:color w:val="4F81BD"/>
      <w:kern w:val="0"/>
      <w:sz w:val="20"/>
      <w:szCs w:val="20"/>
    </w:rPr>
  </w:style>
  <w:style w:type="paragraph" w:customStyle="1" w:styleId="83">
    <w:name w:val="TOC Heading"/>
    <w:basedOn w:val="2"/>
    <w:next w:val="1"/>
    <w:unhideWhenUsed/>
    <w:qFormat/>
    <w:uiPriority w:val="39"/>
    <w:pPr>
      <w:outlineLvl w:val="9"/>
    </w:pPr>
    <w:rPr>
      <w:rFonts w:ascii="Calibri" w:hAnsi="Calibri" w:cs="Times New Roman"/>
    </w:rPr>
  </w:style>
  <w:style w:type="character" w:customStyle="1" w:styleId="84">
    <w:name w:val="表内容 Char"/>
    <w:link w:val="85"/>
    <w:qFormat/>
    <w:locked/>
    <w:uiPriority w:val="0"/>
  </w:style>
  <w:style w:type="paragraph" w:customStyle="1" w:styleId="85">
    <w:name w:val="表内容"/>
    <w:basedOn w:val="1"/>
    <w:link w:val="84"/>
    <w:qFormat/>
    <w:uiPriority w:val="0"/>
    <w:pPr>
      <w:spacing w:line="360" w:lineRule="auto"/>
    </w:pPr>
    <w:rPr>
      <w:rFonts w:asciiTheme="minorHAnsi" w:hAnsiTheme="minorHAnsi" w:eastAsiaTheme="minorEastAsia" w:cstheme="minorBidi"/>
      <w:szCs w:val="22"/>
    </w:rPr>
  </w:style>
  <w:style w:type="paragraph" w:customStyle="1" w:styleId="86">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paragraph" w:customStyle="1" w:styleId="87">
    <w:name w:val="样式1"/>
    <w:basedOn w:val="1"/>
    <w:qFormat/>
    <w:uiPriority w:val="0"/>
    <w:pPr>
      <w:adjustRightInd w:val="0"/>
      <w:spacing w:line="400" w:lineRule="exact"/>
      <w:ind w:firstLine="200" w:firstLineChars="200"/>
      <w:jc w:val="left"/>
    </w:pPr>
    <w:rPr>
      <w:rFonts w:ascii="Times New Roman" w:hAnsi="Times New Roman" w:eastAsia="楷体_GB2312"/>
      <w:kern w:val="0"/>
      <w:sz w:val="24"/>
      <w:szCs w:val="20"/>
    </w:rPr>
  </w:style>
  <w:style w:type="paragraph" w:customStyle="1" w:styleId="88">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89">
    <w:name w:val="正文文字4"/>
    <w:basedOn w:val="1"/>
    <w:qFormat/>
    <w:uiPriority w:val="0"/>
    <w:pPr>
      <w:spacing w:line="320" w:lineRule="exact"/>
      <w:ind w:firstLine="200" w:firstLineChars="200"/>
    </w:pPr>
    <w:rPr>
      <w:rFonts w:ascii="宋体" w:hAnsi="宋体"/>
      <w:b/>
      <w:bCs/>
      <w:sz w:val="24"/>
      <w:szCs w:val="24"/>
    </w:rPr>
  </w:style>
  <w:style w:type="paragraph" w:customStyle="1" w:styleId="90">
    <w:name w:val="样式5"/>
    <w:basedOn w:val="6"/>
    <w:qFormat/>
    <w:uiPriority w:val="0"/>
    <w:pPr>
      <w:spacing w:before="0" w:after="0" w:line="320" w:lineRule="exact"/>
      <w:jc w:val="left"/>
    </w:pPr>
    <w:rPr>
      <w:rFonts w:ascii="宋体" w:hAnsi="Times New Roman" w:cs="Times New Roman"/>
      <w:bCs w:val="0"/>
      <w:color w:val="000000"/>
      <w:szCs w:val="21"/>
    </w:rPr>
  </w:style>
  <w:style w:type="paragraph" w:customStyle="1" w:styleId="91">
    <w:name w:val="样式7"/>
    <w:basedOn w:val="1"/>
    <w:qFormat/>
    <w:uiPriority w:val="0"/>
    <w:pPr>
      <w:snapToGrid w:val="0"/>
      <w:jc w:val="left"/>
    </w:pPr>
    <w:rPr>
      <w:rFonts w:ascii="宋体" w:hAnsi="Times New Roman"/>
      <w:bCs/>
      <w:kern w:val="0"/>
      <w:szCs w:val="32"/>
    </w:rPr>
  </w:style>
  <w:style w:type="paragraph" w:customStyle="1" w:styleId="92">
    <w:name w:val="样式10"/>
    <w:basedOn w:val="1"/>
    <w:qFormat/>
    <w:uiPriority w:val="0"/>
    <w:pPr>
      <w:keepNext/>
      <w:keepLines/>
      <w:spacing w:line="400" w:lineRule="exact"/>
      <w:jc w:val="left"/>
      <w:outlineLvl w:val="4"/>
    </w:pPr>
    <w:rPr>
      <w:rFonts w:ascii="Times New Roman" w:hAnsi="Times New Roman"/>
      <w:b/>
      <w:szCs w:val="22"/>
    </w:rPr>
  </w:style>
  <w:style w:type="paragraph" w:customStyle="1" w:styleId="93">
    <w:name w:val="正"/>
    <w:basedOn w:val="88"/>
    <w:qFormat/>
    <w:uiPriority w:val="0"/>
    <w:pPr>
      <w:ind w:left="0" w:leftChars="0"/>
      <w:jc w:val="center"/>
    </w:pPr>
    <w:rPr>
      <w:kern w:val="0"/>
      <w:sz w:val="21"/>
    </w:rPr>
  </w:style>
  <w:style w:type="paragraph" w:customStyle="1" w:styleId="94">
    <w:name w:val="正文6"/>
    <w:basedOn w:val="19"/>
    <w:qFormat/>
    <w:uiPriority w:val="0"/>
    <w:pPr>
      <w:spacing w:after="0" w:line="240" w:lineRule="exact"/>
      <w:ind w:left="100" w:leftChars="100"/>
      <w:jc w:val="left"/>
    </w:pPr>
    <w:rPr>
      <w:rFonts w:ascii="Times New Roman" w:hAnsi="Times New Roman"/>
      <w:szCs w:val="24"/>
    </w:rPr>
  </w:style>
  <w:style w:type="character" w:customStyle="1" w:styleId="95">
    <w:name w:val="正文5 Char Char"/>
    <w:link w:val="96"/>
    <w:qFormat/>
    <w:locked/>
    <w:uiPriority w:val="0"/>
    <w:rPr>
      <w:rFonts w:ascii="宋体" w:hAnsi="Courier New" w:eastAsia="宋体"/>
      <w:bCs/>
      <w:color w:val="000000"/>
      <w:szCs w:val="24"/>
    </w:rPr>
  </w:style>
  <w:style w:type="paragraph" w:customStyle="1" w:styleId="96">
    <w:name w:val="正文5"/>
    <w:basedOn w:val="1"/>
    <w:link w:val="95"/>
    <w:qFormat/>
    <w:uiPriority w:val="0"/>
    <w:pPr>
      <w:spacing w:line="240" w:lineRule="exact"/>
      <w:ind w:left="200" w:leftChars="200"/>
      <w:jc w:val="left"/>
    </w:pPr>
    <w:rPr>
      <w:rFonts w:ascii="宋体" w:hAnsi="Courier New" w:cstheme="minorBidi"/>
      <w:bCs/>
      <w:color w:val="000000"/>
      <w:szCs w:val="24"/>
    </w:rPr>
  </w:style>
  <w:style w:type="character" w:customStyle="1" w:styleId="97">
    <w:name w:val="样式4 Char"/>
    <w:link w:val="98"/>
    <w:qFormat/>
    <w:locked/>
    <w:uiPriority w:val="0"/>
    <w:rPr>
      <w:rFonts w:ascii="Times New Roman" w:hAnsi="Times New Roman" w:eastAsia="黑体" w:cs="Times New Roman"/>
      <w:bCs/>
      <w:sz w:val="24"/>
      <w:szCs w:val="28"/>
    </w:rPr>
  </w:style>
  <w:style w:type="paragraph" w:customStyle="1" w:styleId="98">
    <w:name w:val="样式4"/>
    <w:basedOn w:val="6"/>
    <w:link w:val="97"/>
    <w:qFormat/>
    <w:uiPriority w:val="0"/>
    <w:pPr>
      <w:spacing w:line="360" w:lineRule="auto"/>
    </w:pPr>
    <w:rPr>
      <w:rFonts w:ascii="Times New Roman" w:hAnsi="Times New Roman" w:eastAsia="黑体" w:cs="Times New Roman"/>
      <w:b w:val="0"/>
      <w:kern w:val="2"/>
      <w:sz w:val="24"/>
    </w:rPr>
  </w:style>
  <w:style w:type="paragraph" w:customStyle="1" w:styleId="99">
    <w:name w:val="样式2"/>
    <w:basedOn w:val="5"/>
    <w:qFormat/>
    <w:uiPriority w:val="0"/>
    <w:pPr>
      <w:adjustRightInd w:val="0"/>
      <w:spacing w:line="400" w:lineRule="exact"/>
    </w:pPr>
    <w:rPr>
      <w:rFonts w:cs="Times New Roman"/>
      <w:b/>
      <w:bCs/>
    </w:rPr>
  </w:style>
  <w:style w:type="character" w:customStyle="1" w:styleId="100">
    <w:name w:val="表头 Char Char"/>
    <w:link w:val="101"/>
    <w:qFormat/>
    <w:locked/>
    <w:uiPriority w:val="0"/>
    <w:rPr>
      <w:b/>
    </w:rPr>
  </w:style>
  <w:style w:type="paragraph" w:customStyle="1" w:styleId="101">
    <w:name w:val="表头"/>
    <w:basedOn w:val="1"/>
    <w:link w:val="100"/>
    <w:qFormat/>
    <w:uiPriority w:val="0"/>
    <w:pPr>
      <w:spacing w:line="360" w:lineRule="auto"/>
      <w:jc w:val="center"/>
    </w:pPr>
    <w:rPr>
      <w:rFonts w:asciiTheme="minorHAnsi" w:hAnsiTheme="minorHAnsi" w:eastAsiaTheme="minorEastAsia" w:cstheme="minorBidi"/>
      <w:b/>
      <w:szCs w:val="22"/>
    </w:rPr>
  </w:style>
  <w:style w:type="paragraph" w:customStyle="1" w:styleId="102">
    <w:name w:val="标题 1H1第 ？ 章PIM 1h1h11heading 1TOC1st levelSection Hea..."/>
    <w:basedOn w:val="2"/>
    <w:qFormat/>
    <w:uiPriority w:val="0"/>
    <w:pPr>
      <w:pageBreakBefore/>
      <w:widowControl/>
      <w:tabs>
        <w:tab w:val="left" w:pos="840"/>
      </w:tabs>
      <w:spacing w:line="576" w:lineRule="auto"/>
      <w:ind w:firstLine="420"/>
    </w:pPr>
    <w:rPr>
      <w:rFonts w:ascii="Arial" w:hAnsi="Arial" w:cs="Times New Roman"/>
    </w:rPr>
  </w:style>
  <w:style w:type="paragraph" w:customStyle="1" w:styleId="103">
    <w:name w:val="Char Char81"/>
    <w:basedOn w:val="1"/>
    <w:qFormat/>
    <w:uiPriority w:val="0"/>
    <w:rPr>
      <w:rFonts w:ascii="Tahoma" w:hAnsi="Tahoma"/>
      <w:sz w:val="24"/>
      <w:szCs w:val="20"/>
    </w:rPr>
  </w:style>
  <w:style w:type="paragraph" w:customStyle="1" w:styleId="104">
    <w:name w:val="Char"/>
    <w:basedOn w:val="1"/>
    <w:qFormat/>
    <w:uiPriority w:val="0"/>
    <w:rPr>
      <w:rFonts w:ascii="Tahoma" w:hAnsi="Tahoma"/>
      <w:sz w:val="24"/>
      <w:szCs w:val="20"/>
    </w:rPr>
  </w:style>
  <w:style w:type="paragraph" w:customStyle="1" w:styleId="105">
    <w:name w:val="标题 3 + 五号"/>
    <w:basedOn w:val="3"/>
    <w:qFormat/>
    <w:uiPriority w:val="0"/>
    <w:pPr>
      <w:numPr>
        <w:ilvl w:val="0"/>
        <w:numId w:val="0"/>
      </w:numPr>
      <w:tabs>
        <w:tab w:val="left" w:pos="840"/>
      </w:tabs>
      <w:snapToGrid/>
      <w:ind w:left="840" w:hanging="420"/>
    </w:pPr>
    <w:rPr>
      <w:rFonts w:ascii="Times New Roman" w:cs="Times New Roman"/>
    </w:rPr>
  </w:style>
  <w:style w:type="paragraph" w:customStyle="1" w:styleId="106">
    <w:name w:val="标题 4 + 五号"/>
    <w:basedOn w:val="4"/>
    <w:qFormat/>
    <w:uiPriority w:val="0"/>
    <w:pPr>
      <w:numPr>
        <w:ilvl w:val="0"/>
        <w:numId w:val="0"/>
      </w:numPr>
      <w:tabs>
        <w:tab w:val="left" w:pos="1260"/>
      </w:tabs>
      <w:snapToGrid/>
      <w:ind w:left="1260" w:hanging="420"/>
    </w:pPr>
    <w:rPr>
      <w:rFonts w:ascii="Times New Roman" w:cs="Times New Roman"/>
    </w:rPr>
  </w:style>
  <w:style w:type="paragraph" w:customStyle="1" w:styleId="107">
    <w:name w:val="1"/>
    <w:basedOn w:val="1"/>
    <w:next w:val="15"/>
    <w:qFormat/>
    <w:uiPriority w:val="0"/>
    <w:pPr>
      <w:numPr>
        <w:ilvl w:val="0"/>
        <w:numId w:val="3"/>
      </w:numPr>
      <w:adjustRightInd w:val="0"/>
      <w:ind w:left="105" w:firstLine="420"/>
    </w:pPr>
    <w:rPr>
      <w:rFonts w:ascii="Times New Roman" w:hAnsi="Times New Roman"/>
      <w:szCs w:val="20"/>
    </w:rPr>
  </w:style>
  <w:style w:type="paragraph" w:customStyle="1" w:styleId="108">
    <w:name w:val="5"/>
    <w:basedOn w:val="1"/>
    <w:qFormat/>
    <w:uiPriority w:val="0"/>
    <w:pPr>
      <w:adjustRightInd w:val="0"/>
      <w:spacing w:line="312" w:lineRule="atLeast"/>
    </w:pPr>
    <w:rPr>
      <w:rFonts w:ascii="Times New Roman" w:hAnsi="Times New Roman"/>
      <w:kern w:val="0"/>
      <w:szCs w:val="20"/>
    </w:rPr>
  </w:style>
  <w:style w:type="paragraph" w:customStyle="1" w:styleId="109">
    <w:name w:val="2"/>
    <w:qFormat/>
    <w:uiPriority w:val="99"/>
    <w:pPr>
      <w:widowControl w:val="0"/>
      <w:jc w:val="both"/>
    </w:pPr>
    <w:rPr>
      <w:rFonts w:ascii="Calibri" w:hAnsi="Calibri" w:eastAsia="宋体" w:cs="Times New Roman"/>
      <w:kern w:val="2"/>
      <w:sz w:val="21"/>
      <w:szCs w:val="21"/>
      <w:lang w:val="en-US" w:eastAsia="zh-CN" w:bidi="ar-SA"/>
    </w:rPr>
  </w:style>
  <w:style w:type="paragraph" w:customStyle="1" w:styleId="110">
    <w:name w:val="标题4"/>
    <w:basedOn w:val="1"/>
    <w:qFormat/>
    <w:uiPriority w:val="0"/>
    <w:pPr>
      <w:ind w:firstLine="420" w:firstLineChars="200"/>
    </w:pPr>
    <w:rPr>
      <w:rFonts w:ascii="楷体_GB2312" w:hAnsi="宋体" w:eastAsia="楷体_GB2312"/>
      <w:szCs w:val="24"/>
    </w:rPr>
  </w:style>
  <w:style w:type="character" w:customStyle="1" w:styleId="111">
    <w:name w:val="Subtle Emphasis"/>
    <w:qFormat/>
    <w:uiPriority w:val="19"/>
    <w:rPr>
      <w:i/>
      <w:iCs/>
      <w:color w:val="808080"/>
    </w:rPr>
  </w:style>
  <w:style w:type="character" w:customStyle="1" w:styleId="112">
    <w:name w:val="Intense Emphasis"/>
    <w:qFormat/>
    <w:uiPriority w:val="21"/>
    <w:rPr>
      <w:b/>
      <w:bCs/>
      <w:i/>
      <w:iCs/>
      <w:color w:val="4F81BD"/>
    </w:rPr>
  </w:style>
  <w:style w:type="character" w:customStyle="1" w:styleId="113">
    <w:name w:val="Subtle Reference"/>
    <w:qFormat/>
    <w:uiPriority w:val="31"/>
    <w:rPr>
      <w:smallCaps/>
      <w:color w:val="C0504D"/>
      <w:u w:val="single"/>
    </w:rPr>
  </w:style>
  <w:style w:type="character" w:customStyle="1" w:styleId="114">
    <w:name w:val="Intense Reference"/>
    <w:qFormat/>
    <w:uiPriority w:val="32"/>
    <w:rPr>
      <w:b/>
      <w:bCs/>
      <w:smallCaps/>
      <w:color w:val="C0504D"/>
      <w:spacing w:val="5"/>
      <w:u w:val="single"/>
    </w:rPr>
  </w:style>
  <w:style w:type="character" w:customStyle="1" w:styleId="115">
    <w:name w:val="Book Title"/>
    <w:qFormat/>
    <w:uiPriority w:val="33"/>
    <w:rPr>
      <w:b/>
      <w:bCs/>
      <w:smallCaps/>
      <w:spacing w:val="5"/>
    </w:rPr>
  </w:style>
  <w:style w:type="character" w:customStyle="1" w:styleId="116">
    <w:name w:val="正文文本 Char1"/>
    <w:basedOn w:val="42"/>
    <w:link w:val="19"/>
    <w:qFormat/>
    <w:locked/>
    <w:uiPriority w:val="99"/>
    <w:rPr>
      <w:rFonts w:ascii="Calibri" w:hAnsi="Calibri" w:eastAsia="宋体" w:cs="Times New Roman"/>
      <w:kern w:val="0"/>
      <w:sz w:val="20"/>
      <w:szCs w:val="20"/>
    </w:rPr>
  </w:style>
  <w:style w:type="character" w:customStyle="1" w:styleId="117">
    <w:name w:val="表内容 Char Char"/>
    <w:qFormat/>
    <w:uiPriority w:val="0"/>
    <w:rPr>
      <w:kern w:val="2"/>
      <w:sz w:val="21"/>
      <w:szCs w:val="22"/>
    </w:rPr>
  </w:style>
  <w:style w:type="character" w:customStyle="1" w:styleId="118">
    <w:name w:val="正文文本缩进 Char1"/>
    <w:qFormat/>
    <w:uiPriority w:val="0"/>
    <w:rPr>
      <w:kern w:val="2"/>
      <w:sz w:val="21"/>
      <w:szCs w:val="21"/>
    </w:rPr>
  </w:style>
  <w:style w:type="character" w:customStyle="1" w:styleId="119">
    <w:name w:val="批注框文本 Char1"/>
    <w:qFormat/>
    <w:uiPriority w:val="0"/>
    <w:rPr>
      <w:rFonts w:hint="default" w:ascii="Calibri" w:hAnsi="Calibri" w:eastAsia="宋体"/>
      <w:sz w:val="18"/>
      <w:szCs w:val="18"/>
      <w:lang w:bidi="ar-SA"/>
    </w:rPr>
  </w:style>
  <w:style w:type="character" w:customStyle="1" w:styleId="120">
    <w:name w:val="批注框文本 Char Char"/>
    <w:qFormat/>
    <w:uiPriority w:val="0"/>
    <w:rPr>
      <w:rFonts w:hint="default" w:ascii="Times New Roman" w:hAnsi="Times New Roman" w:eastAsia="宋体" w:cs="Times New Roman"/>
      <w:sz w:val="18"/>
      <w:szCs w:val="18"/>
    </w:rPr>
  </w:style>
  <w:style w:type="character" w:customStyle="1" w:styleId="121">
    <w:name w:val="页眉 Char Char"/>
    <w:qFormat/>
    <w:uiPriority w:val="0"/>
    <w:rPr>
      <w:rFonts w:hint="default" w:ascii="Times New Roman" w:hAnsi="Times New Roman" w:eastAsia="宋体" w:cs="Times New Roman"/>
      <w:sz w:val="18"/>
      <w:szCs w:val="18"/>
    </w:rPr>
  </w:style>
  <w:style w:type="character" w:customStyle="1" w:styleId="122">
    <w:name w:val="纯文本 Char Char"/>
    <w:qFormat/>
    <w:uiPriority w:val="0"/>
    <w:rPr>
      <w:rFonts w:hint="eastAsia" w:ascii="宋体" w:hAnsi="Courier New" w:eastAsia="宋体" w:cs="Courier New"/>
      <w:szCs w:val="21"/>
    </w:rPr>
  </w:style>
  <w:style w:type="character" w:customStyle="1" w:styleId="123">
    <w:name w:val="Char Char8"/>
    <w:qFormat/>
    <w:uiPriority w:val="0"/>
    <w:rPr>
      <w:rFonts w:hint="default" w:ascii="Arial" w:hAnsi="Arial" w:eastAsia="黑体" w:cs="Arial"/>
      <w:b/>
      <w:bCs/>
      <w:kern w:val="2"/>
      <w:sz w:val="32"/>
      <w:szCs w:val="32"/>
      <w:lang w:val="en-US" w:eastAsia="zh-CN" w:bidi="ar-SA"/>
    </w:rPr>
  </w:style>
  <w:style w:type="character" w:customStyle="1" w:styleId="124">
    <w:name w:val="Char Char1"/>
    <w:qFormat/>
    <w:uiPriority w:val="0"/>
    <w:rPr>
      <w:rFonts w:hint="default" w:ascii="Calibri" w:hAnsi="Calibri" w:eastAsia="宋体"/>
      <w:lang w:bidi="ar-SA"/>
    </w:rPr>
  </w:style>
  <w:style w:type="character" w:customStyle="1" w:styleId="125">
    <w:name w:val="正文文本缩进 Char Char"/>
    <w:qFormat/>
    <w:uiPriority w:val="0"/>
    <w:rPr>
      <w:rFonts w:hint="default" w:ascii="Times New Roman" w:hAnsi="Times New Roman" w:eastAsia="宋体" w:cs="Times New Roman"/>
      <w:szCs w:val="24"/>
    </w:rPr>
  </w:style>
  <w:style w:type="character" w:customStyle="1" w:styleId="126">
    <w:name w:val="Char Char7"/>
    <w:qFormat/>
    <w:uiPriority w:val="0"/>
    <w:rPr>
      <w:rFonts w:hint="default" w:ascii="Arial" w:hAnsi="Arial" w:eastAsia="宋体" w:cs="Arial"/>
      <w:b/>
      <w:bCs/>
      <w:spacing w:val="5"/>
      <w:kern w:val="20"/>
      <w:sz w:val="28"/>
      <w:szCs w:val="28"/>
      <w:lang w:val="en-US" w:eastAsia="zh-CN" w:bidi="ar-SA"/>
    </w:rPr>
  </w:style>
  <w:style w:type="character" w:customStyle="1" w:styleId="127">
    <w:name w:val="Char Char5"/>
    <w:qFormat/>
    <w:uiPriority w:val="0"/>
    <w:rPr>
      <w:rFonts w:hint="default" w:ascii="Calibri" w:hAnsi="Calibri" w:eastAsia="宋体"/>
      <w:sz w:val="18"/>
      <w:szCs w:val="18"/>
      <w:lang w:bidi="ar-SA"/>
    </w:rPr>
  </w:style>
  <w:style w:type="character" w:customStyle="1" w:styleId="128">
    <w:name w:val="Char Char24"/>
    <w:qFormat/>
    <w:uiPriority w:val="0"/>
    <w:rPr>
      <w:rFonts w:hint="default" w:ascii="Arial" w:hAnsi="Arial" w:eastAsia="黑体" w:cs="Arial"/>
      <w:b/>
      <w:bCs/>
      <w:kern w:val="2"/>
      <w:sz w:val="32"/>
      <w:szCs w:val="32"/>
      <w:lang w:val="en-US" w:eastAsia="zh-CN" w:bidi="ar-SA"/>
    </w:rPr>
  </w:style>
  <w:style w:type="character" w:customStyle="1" w:styleId="129">
    <w:name w:val="正文文本 Char Char"/>
    <w:qFormat/>
    <w:uiPriority w:val="0"/>
    <w:rPr>
      <w:rFonts w:hint="default" w:ascii="Times New Roman" w:hAnsi="Times New Roman" w:eastAsia="宋体" w:cs="Times New Roman"/>
      <w:szCs w:val="24"/>
    </w:rPr>
  </w:style>
  <w:style w:type="character" w:customStyle="1" w:styleId="130">
    <w:name w:val="Char Char2"/>
    <w:qFormat/>
    <w:uiPriority w:val="0"/>
    <w:rPr>
      <w:rFonts w:hint="default" w:ascii="Calibri" w:hAnsi="Calibri" w:eastAsia="宋体"/>
      <w:lang w:val="en-US" w:eastAsia="zh-CN" w:bidi="ar-SA"/>
    </w:rPr>
  </w:style>
  <w:style w:type="character" w:customStyle="1" w:styleId="131">
    <w:name w:val="正文文本缩进 2 Char Char"/>
    <w:qFormat/>
    <w:uiPriority w:val="0"/>
    <w:rPr>
      <w:rFonts w:hint="default" w:ascii="Times New Roman" w:hAnsi="Times New Roman" w:eastAsia="宋体" w:cs="Times New Roman"/>
      <w:szCs w:val="24"/>
    </w:rPr>
  </w:style>
  <w:style w:type="character" w:customStyle="1" w:styleId="132">
    <w:name w:val="Char Char22"/>
    <w:qFormat/>
    <w:uiPriority w:val="0"/>
    <w:rPr>
      <w:rFonts w:hint="default" w:ascii="Arial" w:hAnsi="Arial" w:cs="Arial"/>
      <w:b/>
      <w:bCs/>
      <w:spacing w:val="5"/>
      <w:kern w:val="20"/>
      <w:sz w:val="28"/>
      <w:szCs w:val="28"/>
    </w:rPr>
  </w:style>
  <w:style w:type="character" w:customStyle="1" w:styleId="133">
    <w:name w:val="Char Char3"/>
    <w:qFormat/>
    <w:uiPriority w:val="0"/>
    <w:rPr>
      <w:rFonts w:hint="default" w:ascii="Arial" w:hAnsi="Arial" w:eastAsia="宋体" w:cs="Arial"/>
      <w:b/>
      <w:bCs/>
      <w:spacing w:val="5"/>
      <w:kern w:val="20"/>
      <w:sz w:val="28"/>
      <w:szCs w:val="28"/>
      <w:lang w:val="en-US" w:eastAsia="zh-CN" w:bidi="ar-SA"/>
    </w:rPr>
  </w:style>
  <w:style w:type="character" w:customStyle="1" w:styleId="134">
    <w:name w:val="Char Char11"/>
    <w:qFormat/>
    <w:uiPriority w:val="0"/>
    <w:rPr>
      <w:rFonts w:hint="default" w:ascii="Calibri" w:hAnsi="Calibri" w:eastAsia="宋体"/>
      <w:lang w:val="en-US" w:eastAsia="zh-CN" w:bidi="ar-SA"/>
    </w:rPr>
  </w:style>
  <w:style w:type="character" w:customStyle="1" w:styleId="135">
    <w:name w:val="Char Char6"/>
    <w:qFormat/>
    <w:uiPriority w:val="0"/>
    <w:rPr>
      <w:rFonts w:hint="default" w:ascii="Calibri" w:hAnsi="Calibri" w:eastAsia="宋体"/>
      <w:lang w:val="en-US" w:eastAsia="zh-CN" w:bidi="ar-SA"/>
    </w:rPr>
  </w:style>
  <w:style w:type="character" w:customStyle="1" w:styleId="136">
    <w:name w:val="Char Char221"/>
    <w:qFormat/>
    <w:uiPriority w:val="0"/>
    <w:rPr>
      <w:rFonts w:hint="default" w:ascii="Arial" w:hAnsi="Arial" w:eastAsia="宋体" w:cs="Arial"/>
      <w:b/>
      <w:bCs/>
      <w:spacing w:val="5"/>
      <w:kern w:val="20"/>
      <w:sz w:val="28"/>
      <w:szCs w:val="28"/>
      <w:lang w:val="en-US" w:eastAsia="zh-CN" w:bidi="ar-SA"/>
    </w:rPr>
  </w:style>
  <w:style w:type="character" w:customStyle="1" w:styleId="137">
    <w:name w:val="表头 Char"/>
    <w:qFormat/>
    <w:uiPriority w:val="0"/>
    <w:rPr>
      <w:b/>
      <w:kern w:val="2"/>
      <w:sz w:val="21"/>
      <w:szCs w:val="22"/>
    </w:rPr>
  </w:style>
  <w:style w:type="character" w:customStyle="1" w:styleId="138">
    <w:name w:val="apple-converted-space"/>
    <w:qFormat/>
    <w:uiPriority w:val="0"/>
  </w:style>
  <w:style w:type="character" w:customStyle="1" w:styleId="139">
    <w:name w:val="Char Char12"/>
    <w:qFormat/>
    <w:uiPriority w:val="0"/>
    <w:rPr>
      <w:rFonts w:hint="default" w:ascii="Calibri" w:hAnsi="Calibri" w:eastAsia="宋体"/>
    </w:rPr>
  </w:style>
  <w:style w:type="character" w:customStyle="1" w:styleId="140">
    <w:name w:val="Char Char9"/>
    <w:qFormat/>
    <w:locked/>
    <w:uiPriority w:val="0"/>
    <w:rPr>
      <w:rFonts w:hint="default" w:ascii="Calibri" w:hAnsi="Calibri" w:eastAsia="宋体"/>
      <w:lang w:val="en-US" w:eastAsia="zh-CN" w:bidi="ar-SA"/>
    </w:rPr>
  </w:style>
  <w:style w:type="character" w:customStyle="1" w:styleId="141">
    <w:name w:val="正文5 Char"/>
    <w:qFormat/>
    <w:locked/>
    <w:uiPriority w:val="0"/>
    <w:rPr>
      <w:rFonts w:hint="eastAsia" w:ascii="宋体" w:hAnsi="Courier New" w:eastAsia="宋体"/>
      <w:bCs/>
      <w:color w:val="000000"/>
      <w:kern w:val="2"/>
      <w:sz w:val="21"/>
      <w:szCs w:val="24"/>
      <w:lang w:val="en-US" w:eastAsia="zh-CN" w:bidi="ar-SA"/>
    </w:rPr>
  </w:style>
  <w:style w:type="character" w:customStyle="1" w:styleId="142">
    <w:name w:val="正文文本 Char2"/>
    <w:basedOn w:val="42"/>
    <w:qFormat/>
    <w:locked/>
    <w:uiPriority w:val="99"/>
    <w:rPr>
      <w:rFonts w:ascii="Calibri" w:hAnsi="Calibri" w:eastAsia="宋体" w:cs="Times New Roman"/>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1652</Words>
  <Characters>9420</Characters>
  <Lines>78</Lines>
  <Paragraphs>22</Paragraphs>
  <TotalTime>0</TotalTime>
  <ScaleCrop>false</ScaleCrop>
  <LinksUpToDate>false</LinksUpToDate>
  <CharactersWithSpaces>11050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2017-03-15T08:49:00Z</dcterms:created>
  <dc:creator>syslx102</dc:creator>
  <cp:lastModifiedBy>Administrator</cp:lastModifiedBy>
  <dcterms:modified xsi:type="dcterms:W3CDTF">2020-12-22T01:47:58Z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