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exact"/>
        <w:jc w:val="center"/>
        <w:rPr>
          <w:rFonts w:ascii="方正宋黑简体" w:eastAsia="方正宋黑简体"/>
          <w:szCs w:val="21"/>
        </w:rPr>
      </w:pPr>
      <w:r>
        <w:rPr>
          <w:rFonts w:hint="eastAsia" w:ascii="方正宋黑简体" w:eastAsia="方正宋黑简体"/>
          <w:szCs w:val="21"/>
        </w:rPr>
        <w:t>柜员信息维护申请表填写说明</w:t>
      </w:r>
    </w:p>
    <w:p>
      <w:pPr>
        <w:spacing w:line="150" w:lineRule="exact"/>
        <w:rPr>
          <w:rFonts w:ascii="方正宋黑简体" w:eastAsia="方正宋黑简体"/>
          <w:sz w:val="13"/>
          <w:szCs w:val="13"/>
        </w:rPr>
      </w:pPr>
      <w:r>
        <w:rPr>
          <w:rFonts w:hint="eastAsia" w:ascii="方正宋黑简体" w:eastAsia="方正宋黑简体"/>
          <w:sz w:val="13"/>
          <w:szCs w:val="13"/>
        </w:rPr>
        <w:t>1. 柜员级别：01级柜员、02级柜员、05级柜员、06级柜员、07级柜员、08级柜员、09级柜员。</w:t>
      </w:r>
    </w:p>
    <w:p>
      <w:pPr>
        <w:spacing w:line="150" w:lineRule="exact"/>
        <w:rPr>
          <w:rFonts w:ascii="方正宋黑简体" w:eastAsia="方正宋黑简体"/>
          <w:sz w:val="13"/>
          <w:szCs w:val="13"/>
        </w:rPr>
      </w:pPr>
      <w:r>
        <w:rPr>
          <w:rFonts w:hint="eastAsia" w:ascii="方正宋黑简体" w:eastAsia="方正宋黑简体"/>
          <w:sz w:val="13"/>
          <w:szCs w:val="13"/>
        </w:rPr>
        <w:t>2. 柜员类型：柜台柜员、ATM自动取款机、CDM自动取款机、TBS电话银行、POS销售终端、CRS多媒体自动终端。</w:t>
      </w:r>
    </w:p>
    <w:p>
      <w:pPr>
        <w:spacing w:line="150" w:lineRule="exact"/>
        <w:rPr>
          <w:rFonts w:ascii="方正宋黑简体" w:eastAsia="方正宋黑简体"/>
          <w:sz w:val="13"/>
          <w:szCs w:val="13"/>
        </w:rPr>
      </w:pPr>
      <w:r>
        <w:rPr>
          <w:rFonts w:hint="eastAsia" w:ascii="方正宋黑简体" w:eastAsia="方正宋黑简体"/>
          <w:sz w:val="13"/>
          <w:szCs w:val="13"/>
        </w:rPr>
        <w:t>3. 登录方式：0-密码验证、1-指纹验证</w:t>
      </w:r>
    </w:p>
    <w:p>
      <w:pPr>
        <w:spacing w:line="150" w:lineRule="exact"/>
        <w:rPr>
          <w:rFonts w:ascii="方正宋黑简体" w:eastAsia="方正宋黑简体"/>
          <w:sz w:val="13"/>
          <w:szCs w:val="13"/>
        </w:rPr>
      </w:pPr>
      <w:r>
        <w:rPr>
          <w:rFonts w:hint="eastAsia" w:ascii="方正宋黑简体" w:eastAsia="方正宋黑简体"/>
          <w:sz w:val="13"/>
          <w:szCs w:val="13"/>
        </w:rPr>
        <w:t>4. 柜员角色集合：</w:t>
      </w:r>
    </w:p>
    <w:tbl>
      <w:tblPr>
        <w:tblStyle w:val="5"/>
        <w:tblW w:w="10800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720"/>
        <w:gridCol w:w="6120"/>
        <w:gridCol w:w="306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90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角色类型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角色组集合模板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角色描述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查询柜员角色集合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稽核类角色集合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可签到，查询所有可查询打印业务（不包括凭证的打印）。各级稽核人员、事后监督员、自律检查员、核算中心高管人员、07、08、09级主管人员以及其他需要查询各项业务的人员可选择该角色。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仅能查询存款业务的柜员角色集合</w:t>
            </w:r>
          </w:p>
        </w:tc>
        <w:tc>
          <w:tcPr>
            <w:tcW w:w="306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可签到，可查询不同业务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仅能查询银行卡业务的柜员角色集合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仅能查询银行卡、短信银行、电话银行业务的柜员角色集合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仅能查询存款、银行卡、短信银行、电话银行业务的柜员角色集合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仅能查询存款、银行卡、短信银行、电话银行、横向联网、银银互通、农信银通存通兑等存款类业务的柜员角色集合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仅能查询贷款类业务的柜员角色集合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仅能查询结算类业务的柜员角色集合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C009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可查询中间业务、总账/内部账业务、股金业务、行内汇划业务、结算业务、大小额业务的柜员角色集合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主管柜员角色集合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专职对各类业务授权、各类业务进行查询打印的主管角色集合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可签到，可授权，可对各类业务进行查询的主管柜员选择该角色。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办理总账/内部账业务主管角色集合</w:t>
            </w:r>
          </w:p>
        </w:tc>
        <w:tc>
          <w:tcPr>
            <w:tcW w:w="306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可签到，可授权，可办理相关业务，一般情况下，核算中心主管选择C010至C015，特殊情况可灵活调整。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办理总账/内部账、股金业务主管角色集合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办理总账/内部账、股金业务、中间业务主管角色集合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办理总账/内部账、股金业务、中间业务、行内汇划、结算、大小额业务主管角色集合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办理中间业务主管角色集合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办理结算类业务主管角色集合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办理信贷类业务主管角色集合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C019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办理存款、结算类业务主管角色集合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办理存款、信贷类业务主管角色集合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办理存款、总账/内部账业务主管角色集合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办理存款类、结算类、信贷类业务主管角色集合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办理存款类、结算类、信贷类、总账/内部账业务主管角色集合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办理存款、中间业务、结算类业务主管角色集合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办理存款、中间业务、信贷类业务主管角色集合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办理存款、中间业务、总账/内部账业务主管角色集合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办理存款类、中间业务、结算类、信贷类业务主管角色集合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办理存款类、中间业务、结算类、信贷类、总账/内部账业务主管角色集合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柜面柜员角色集合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C029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办理柜面存款类业务的柜员角色集合</w:t>
            </w:r>
          </w:p>
        </w:tc>
        <w:tc>
          <w:tcPr>
            <w:tcW w:w="3060" w:type="dxa"/>
            <w:vMerge w:val="restart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结算类业务包括：行内汇划、结算、农信银汇兑、农信银汇票、大小额、结算业务只包括委托收款与托收承付、核算中心根据实际情况可灵活增加额度业务、担保品业务，其他业务也可以零活增减、一般情况下，储蓄所柜员可选择C051至C055，信用社（支行、营业部）营业室柜员可选择C039至C050，核算中心柜员可选择C056至C057，特殊情况可零活调整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办理柜面中间业务的柜员角色集合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办理柜面总账/内部账业务的柜员角色集合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办理柜面股金业务的柜员角色集合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办理银行本票业务的柜员角色集合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办理柜面票据业务的柜员角色集合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办理柜面信贷业务的柜员角色集合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办理柜面国际业务的柜员角色集合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办理柜面同城业务的柜员角色集合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办理柜面结算类业务的柜员角色集合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C039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办理柜面存款、中间业务类的柜员角色集合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办理柜面存款、中间业务、总账/内部账、信贷类、结算类、票据业务的柜员角色集合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办理柜面存款、中间业务、总账/内部账、信贷类、结算类、票据业务、银行本票的柜员角色集合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办理柜面存款、中间业务、总账/内部账、信贷类、结算类、同城业务的柜员角色集合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办理柜面存款、中间业务、总账/内部账、信贷类、结算类、同城业务、票据业务的柜员角色集合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w w:val="97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w w:val="97"/>
                <w:sz w:val="13"/>
                <w:szCs w:val="13"/>
              </w:rPr>
              <w:t>办理柜面存款、中间业务、总账/内部账、信贷类、结算类、同城业务、票据业务、银行本票的柜员角色集合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办理柜面存款、中间业务、总账/内部账、信贷类、结算类、国际业务的柜员角色集合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C049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办理柜面存款、中间业务、总账/内部账、信贷类、结算类、国际业务、票据业务的柜员角色集合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w w:val="97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w w:val="97"/>
                <w:sz w:val="13"/>
                <w:szCs w:val="13"/>
              </w:rPr>
              <w:t>办理柜面存款、中间业务、总账/内部账、信贷类、结算类、国际业务、票据业务、银行本票的柜员角色集合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办理柜面存款、行内汇划类业务的柜员角色集合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C052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办理柜面存款、行内汇划、结算、中间业务的柜员角色集合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C053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办理柜面存款、行内汇划、结算、中间业务、农信银汇票、农信银汇兑类业务的柜员角色集合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C054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办理柜面存款、行内汇划、结算、中间业务、农信银汇票、农信银汇兑、大小额类业务的柜员角色集合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C055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办理柜面存款、行内汇划、结算、中间业务、农信银汇票、农信银汇兑、大小额、</w:t>
            </w:r>
            <w:r>
              <w:rPr>
                <w:rFonts w:hint="eastAsia" w:ascii="方正宋黑简体" w:eastAsia="方正宋黑简体"/>
                <w:w w:val="90"/>
                <w:sz w:val="13"/>
                <w:szCs w:val="13"/>
              </w:rPr>
              <w:t>同城业务的柜员角色集合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C056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办理柜面中间业务、总账/内部账、股金、行内汇划的柜员角色集合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C057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办理柜面中间业务、总账/内部账、股金、行内汇划、结算、大小额类业务的柜员角色集合</w:t>
            </w:r>
          </w:p>
        </w:tc>
        <w:tc>
          <w:tcPr>
            <w:tcW w:w="3060" w:type="dxa"/>
            <w:vMerge w:val="continue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清算中心柜员角色集合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C058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清算中心的柜员角色集合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清算中心电子银行柜员角色集合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C059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清算中心电子银行部的柜员角色集合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科技信息维护柜员角色集合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C060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科技信息维护的柜员角色集合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90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移动终端角色集合</w:t>
            </w:r>
          </w:p>
        </w:tc>
        <w:tc>
          <w:tcPr>
            <w:tcW w:w="720" w:type="dxa"/>
            <w:vAlign w:val="center"/>
          </w:tcPr>
          <w:p>
            <w:pPr>
              <w:spacing w:line="150" w:lineRule="exact"/>
              <w:ind w:left="-55" w:leftChars="-25" w:right="-55" w:rightChars="-25"/>
              <w:jc w:val="center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C061</w:t>
            </w:r>
          </w:p>
        </w:tc>
        <w:tc>
          <w:tcPr>
            <w:tcW w:w="612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  <w:r>
              <w:rPr>
                <w:rFonts w:hint="eastAsia" w:ascii="方正宋黑简体" w:eastAsia="方正宋黑简体"/>
                <w:sz w:val="13"/>
                <w:szCs w:val="13"/>
              </w:rPr>
              <w:t>移动终端的柜员角色集合</w:t>
            </w:r>
          </w:p>
        </w:tc>
        <w:tc>
          <w:tcPr>
            <w:tcW w:w="3060" w:type="dxa"/>
            <w:vAlign w:val="center"/>
          </w:tcPr>
          <w:p>
            <w:pPr>
              <w:spacing w:line="150" w:lineRule="exact"/>
              <w:ind w:left="-55" w:leftChars="-25" w:right="-55" w:rightChars="-25"/>
              <w:rPr>
                <w:rFonts w:ascii="方正宋黑简体" w:eastAsia="方正宋黑简体"/>
                <w:sz w:val="13"/>
                <w:szCs w:val="13"/>
              </w:rPr>
            </w:pPr>
          </w:p>
        </w:tc>
      </w:tr>
    </w:tbl>
    <w:p>
      <w:pPr>
        <w:spacing w:line="150" w:lineRule="exact"/>
        <w:rPr>
          <w:rFonts w:ascii="方正宋黑简体" w:eastAsia="方正宋黑简体"/>
          <w:sz w:val="13"/>
          <w:szCs w:val="13"/>
        </w:rPr>
      </w:pPr>
      <w:r>
        <w:rPr>
          <w:rFonts w:hint="eastAsia" w:ascii="方正宋黑简体" w:eastAsia="方正宋黑简体"/>
          <w:sz w:val="13"/>
          <w:szCs w:val="13"/>
        </w:rPr>
        <w:t>5.当为柜员维护角色组集合模板时，角色组集合代码与角色描述栏位为空；当为柜员新增维护角色组集合代码时，角色组集合模板为空。</w:t>
      </w:r>
    </w:p>
    <w:p>
      <w:pPr>
        <w:spacing w:line="100" w:lineRule="exact"/>
      </w:pPr>
    </w:p>
    <w:p>
      <w:pPr>
        <w:spacing w:line="220" w:lineRule="atLeast"/>
      </w:pPr>
      <w:bookmarkStart w:id="0" w:name="_GoBack"/>
      <w:bookmarkEnd w:id="0"/>
    </w:p>
    <w:sectPr>
      <w:pgSz w:w="11906" w:h="16838"/>
      <w:pgMar w:top="454" w:right="567" w:bottom="28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宋黑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17187"/>
    <w:rsid w:val="001038C4"/>
    <w:rsid w:val="001A4810"/>
    <w:rsid w:val="001C3E54"/>
    <w:rsid w:val="002A7554"/>
    <w:rsid w:val="00323B43"/>
    <w:rsid w:val="003D37D8"/>
    <w:rsid w:val="00426133"/>
    <w:rsid w:val="004358AB"/>
    <w:rsid w:val="006356F4"/>
    <w:rsid w:val="00745935"/>
    <w:rsid w:val="008B7726"/>
    <w:rsid w:val="00936EAF"/>
    <w:rsid w:val="00C32972"/>
    <w:rsid w:val="00CB4669"/>
    <w:rsid w:val="00D31D50"/>
    <w:rsid w:val="00DC6275"/>
    <w:rsid w:val="00EB6188"/>
    <w:rsid w:val="0B56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408</Words>
  <Characters>2330</Characters>
  <Lines>19</Lines>
  <Paragraphs>5</Paragraphs>
  <TotalTime>9</TotalTime>
  <ScaleCrop>false</ScaleCrop>
  <LinksUpToDate>false</LinksUpToDate>
  <CharactersWithSpaces>2733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Administrator</cp:lastModifiedBy>
  <dcterms:modified xsi:type="dcterms:W3CDTF">2020-12-22T01:23:19Z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