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GAMBEW CONSULTING</w:t>
      </w:r>
    </w:p>
    <w:p>
      <w:pPr>
        <w:jc w:val="center"/>
      </w:pPr>
      <w:r>
        <w:rPr>
          <w:sz w:val="24"/>
        </w:rPr>
        <w:t>Professional Tender Submission</w:t>
      </w:r>
    </w:p>
    <w:p/>
    <w:p>
      <w:pPr>
        <w:jc w:val="center"/>
      </w:pPr>
      <w:r>
        <w:rPr>
          <w:b/>
          <w:sz w:val="36"/>
        </w:rPr>
        <w:t>PNW World-Class Platform Transformation Proposal</w:t>
      </w:r>
    </w:p>
    <w:p>
      <w:pPr>
        <w:jc w:val="center"/>
      </w:pPr>
      <w:r>
        <w:rPr>
          <w:sz w:val="24"/>
        </w:rPr>
        <w:t>Prepared for: Plumstead Neighbourhood Watch Committee</w:t>
      </w:r>
    </w:p>
    <w:p>
      <w:pPr>
        <w:jc w:val="center"/>
      </w:pPr>
      <w:r>
        <w:rPr>
          <w:sz w:val="24"/>
        </w:rPr>
        <w:t>Date: 18 February 2026</w:t>
      </w:r>
    </w:p>
    <w:p/>
    <w:p>
      <w:pPr>
        <w:jc w:val="center"/>
      </w:pPr>
      <w:r>
        <w:t>Gareth Bew</w:t>
      </w:r>
    </w:p>
    <w:p>
      <w:pPr>
        <w:jc w:val="center"/>
      </w:pPr>
      <w:r>
        <w:t>Gambew Consulting</w:t>
      </w:r>
    </w:p>
    <w:p>
      <w:pPr>
        <w:jc w:val="center"/>
      </w:pPr>
      <w:r>
        <w:t>Email: gambew@outlook.com</w:t>
      </w:r>
    </w:p>
    <w:p>
      <w:pPr>
        <w:jc w:val="center"/>
      </w:pPr>
      <w:r>
        <w:t>Mobile: +27 75 470 2529</w:t>
      </w:r>
    </w:p>
    <w:p>
      <w:pPr>
        <w:jc w:val="center"/>
      </w:pPr>
      <w:r>
        <w:t>WhatsApp: +27 84 0333 777</w:t>
      </w:r>
    </w:p>
    <w:p>
      <w:r>
        <w:br w:type="page"/>
      </w:r>
    </w:p>
    <w:p>
      <w:pPr>
        <w:pStyle w:val="Heading1"/>
      </w:pPr>
      <w:r>
        <w:t>1. Executive Submission Letter</w:t>
      </w:r>
    </w:p>
    <w:p>
      <w:pPr/>
      <w:r>
        <w:t>Dear Plumstead Neighbourhood Watch Committee,</w:t>
      </w:r>
    </w:p>
    <w:p>
      <w:pPr/>
      <w:r>
        <w:t>Gambew Consulting hereby submits this proposal to partner with Plumstead Neighbourhood Watch on a focused 8-week transformation programme. The objective is to elevate the current platform from a strong feature-complete implementation to an operationally excellent, modern, dynamic, and high-value digital community service.</w:t>
      </w:r>
    </w:p>
    <w:p>
      <w:pPr/>
      <w:r>
        <w:t>This submission is grounded in implementation evidence from the current repository and route-level workflow review, combined with a practical delivery framework, executive governance controls, and a clear commercial model aligned with your requested terms.</w:t>
      </w:r>
    </w:p>
    <w:p>
      <w:pPr>
        <w:pStyle w:val="Heading1"/>
      </w:pPr>
      <w:r>
        <w:t>2. Profile Overview: Gareth Bew</w:t>
      </w:r>
    </w:p>
    <w:p>
      <w:pPr/>
      <w:r>
        <w:t>Gareth Bew is the Chief Executive Officer of BEW AND CO (PTY) LTD and a senior digital transformation leader with delivery exposure across South Africa, the Middle East, and broader international enterprise environments.</w:t>
      </w:r>
    </w:p>
    <w:p>
      <w:pPr>
        <w:pStyle w:val="ListBullet"/>
      </w:pPr>
      <w:r>
        <w:t>Leadership profile spans retail, banking, and financial services transformation programmes.</w:t>
      </w:r>
    </w:p>
    <w:p>
      <w:pPr>
        <w:pStyle w:val="ListBullet"/>
      </w:pPr>
      <w:r>
        <w:t>Proven track record in data analytics, AI, machine learning, and enterprise modernization.</w:t>
      </w:r>
    </w:p>
    <w:p>
      <w:pPr>
        <w:pStyle w:val="ListBullet"/>
      </w:pPr>
      <w:r>
        <w:t>Senior appointments include Woolworths, Alshaya Group, TFG, Sanlam, Nedbank, and related enterprise portfolios.</w:t>
      </w:r>
    </w:p>
    <w:p>
      <w:pPr>
        <w:pStyle w:val="ListBullet"/>
      </w:pPr>
      <w:r>
        <w:t>Demonstrated achievement in markdown optimization transformation with significant decision-cycle acceleration.</w:t>
      </w:r>
    </w:p>
    <w:p>
      <w:pPr>
        <w:pStyle w:val="ListBullet"/>
      </w:pPr>
      <w:r>
        <w:t>Experience in enterprise-scale value chain, analytics, and operational transformation programmes.</w:t>
      </w:r>
    </w:p>
    <w:p>
      <w:pPr>
        <w:pStyle w:val="ListBullet"/>
      </w:pPr>
      <w:r>
        <w:t>Executive governance exposure through EXCO and steering-level programme leadership.</w:t>
      </w:r>
    </w:p>
    <w:p>
      <w:pPr>
        <w:pStyle w:val="ListBullet"/>
      </w:pPr>
      <w:r>
        <w:t>Academic and professional credentials include MSc Global Business Management and postgraduate digital strategy/marketing studies.</w:t>
      </w:r>
    </w:p>
    <w:p>
      <w:pPr/>
      <w:r>
        <w:t>Leadership positioning for PNW: technology-enabled operational modernization with measurable community outcomes, disciplined delivery governance, and practical transition support.</w:t>
      </w:r>
    </w:p>
    <w:p>
      <w:pPr/>
      <w:r>
        <w:t>Profile evidence source: LinkedIn-generated profile document (`c:\Users\garet\Downloads\Profile.pdf`, dated 18 February 2026).</w:t>
      </w:r>
    </w:p>
    <w:p>
      <w:pPr>
        <w:pStyle w:val="Heading1"/>
      </w:pPr>
      <w:r>
        <w:t>3. C-Level Current Platform Assessment</w:t>
      </w:r>
    </w:p>
    <w:p>
      <w:pPr/>
      <w:r>
        <w:t>The current PNW platform is materially advanced and should be treated as a modern baseline rather than a greenfield rebuild. Core digital journeys and data structures are already implemented.</w:t>
      </w:r>
    </w:p>
    <w:p>
      <w:pPr>
        <w:pStyle w:val="ListBullet"/>
      </w:pPr>
      <w:r>
        <w:t>Implemented service journeys: incidents, events/RSVP, registration, zone finder, volunteer, vacation watch, start-scheme, contact.</w:t>
      </w:r>
    </w:p>
    <w:p>
      <w:pPr>
        <w:pStyle w:val="ListBullet"/>
      </w:pPr>
      <w:r>
        <w:t>Modern architecture in place: Next.js, React, Prisma/Postgres, Clerk auth, typed actions and validation schemas.</w:t>
      </w:r>
    </w:p>
    <w:p>
      <w:pPr>
        <w:pStyle w:val="ListBullet"/>
      </w:pPr>
      <w:r>
        <w:t>Data coverage supports operational expansion: users, incidents, events, engagement records, and enquiry workflows.</w:t>
      </w:r>
    </w:p>
    <w:p>
      <w:pPr>
        <w:pStyle w:val="ListBullet"/>
      </w:pPr>
      <w:r>
        <w:t>Key executive gap: operational assurance maturity (evidence completion, signoff discipline, release hardening).</w:t>
      </w:r>
    </w:p>
    <w:p>
      <w:pPr>
        <w:pStyle w:val="ListBullet"/>
      </w:pPr>
      <w:r>
        <w:t>Governance artefacts exist but require closure for production-grade programme confidence.</w:t>
      </w:r>
    </w:p>
    <w:p>
      <w:pPr>
        <w:pStyle w:val="ListBullet"/>
      </w:pPr>
      <w:r>
        <w:t>Release/runtime consistency requires hardening to reduce deployment variance and execution risk.</w:t>
      </w:r>
    </w:p>
    <w:p>
      <w:pPr/>
      <w:r>
        <w:t>Strategic conclusion: transition from feature-complete build status to an operationally excellent, committee-governed community platform with sustained service quality and accountability.</w:t>
      </w:r>
    </w:p>
    <w:p>
      <w:pPr>
        <w:pStyle w:val="Heading1"/>
      </w:pPr>
      <w:r>
        <w:t>4. 8-Week Transformation Delivery Plan</w:t>
      </w:r>
    </w:p>
    <w:p>
      <w:pPr>
        <w:pStyle w:val="Heading2"/>
      </w:pPr>
      <w:r>
        <w:t>Week 1-2: Operational Baseline and Assurance Hardening</w:t>
      </w:r>
    </w:p>
    <w:p>
      <w:pPr>
        <w:pStyle w:val="ListBullet"/>
      </w:pPr>
      <w:r>
        <w:t>Complete platform baseline audit and implementation verification.</w:t>
      </w:r>
    </w:p>
    <w:p>
      <w:pPr>
        <w:pStyle w:val="ListBullet"/>
      </w:pPr>
      <w:r>
        <w:t>Stabilize release process and harden runtime/build reliability.</w:t>
      </w:r>
    </w:p>
    <w:p>
      <w:pPr>
        <w:pStyle w:val="ListBullet"/>
      </w:pPr>
      <w:r>
        <w:t>Close governance gaps in evidence capture and signoff controls.</w:t>
      </w:r>
    </w:p>
    <w:p>
      <w:pPr>
        <w:pStyle w:val="Heading2"/>
      </w:pPr>
      <w:r>
        <w:t>Week 3-4: UX and Content Value Uplift</w:t>
      </w:r>
    </w:p>
    <w:p>
      <w:pPr>
        <w:pStyle w:val="ListBullet"/>
      </w:pPr>
      <w:r>
        <w:t>Refine member and stakeholder journeys for clarity and conversion.</w:t>
      </w:r>
    </w:p>
    <w:p>
      <w:pPr>
        <w:pStyle w:val="ListBullet"/>
      </w:pPr>
      <w:r>
        <w:t>Polish information architecture and executive-facing content quality.</w:t>
      </w:r>
    </w:p>
    <w:p>
      <w:pPr>
        <w:pStyle w:val="ListBullet"/>
      </w:pPr>
      <w:r>
        <w:t>Improve usability, consistency, and service discoverability.</w:t>
      </w:r>
    </w:p>
    <w:p>
      <w:pPr>
        <w:pStyle w:val="Heading2"/>
      </w:pPr>
      <w:r>
        <w:t>Week 5-6: Command Layer and C-Level Visibility</w:t>
      </w:r>
    </w:p>
    <w:p>
      <w:pPr>
        <w:pStyle w:val="ListBullet"/>
      </w:pPr>
      <w:r>
        <w:t>Introduce operational reporting views for committee oversight.</w:t>
      </w:r>
    </w:p>
    <w:p>
      <w:pPr>
        <w:pStyle w:val="ListBullet"/>
      </w:pPr>
      <w:r>
        <w:t>Define KPI framework for service usage, engagement, and quality.</w:t>
      </w:r>
    </w:p>
    <w:p>
      <w:pPr>
        <w:pStyle w:val="ListBullet"/>
      </w:pPr>
      <w:r>
        <w:t>Align data outputs for decision-making cadence and governance.</w:t>
      </w:r>
    </w:p>
    <w:p>
      <w:pPr>
        <w:pStyle w:val="Heading2"/>
      </w:pPr>
      <w:r>
        <w:t>Week 7: Launch Readiness and Stakeholder Signoff</w:t>
      </w:r>
    </w:p>
    <w:p>
      <w:pPr>
        <w:pStyle w:val="ListBullet"/>
      </w:pPr>
      <w:r>
        <w:t>Execute structured verification scenarios across critical routes.</w:t>
      </w:r>
    </w:p>
    <w:p>
      <w:pPr>
        <w:pStyle w:val="ListBullet"/>
      </w:pPr>
      <w:r>
        <w:t>Finalize evidence matrix and executive presentation pack.</w:t>
      </w:r>
    </w:p>
    <w:p>
      <w:pPr>
        <w:pStyle w:val="ListBullet"/>
      </w:pPr>
      <w:r>
        <w:t>Run acceptance walkthrough with committee stakeholders.</w:t>
      </w:r>
    </w:p>
    <w:p>
      <w:pPr>
        <w:pStyle w:val="Heading2"/>
      </w:pPr>
      <w:r>
        <w:t>Week 8: Go-Live, Transition, and Handover Closure</w:t>
      </w:r>
    </w:p>
    <w:p>
      <w:pPr>
        <w:pStyle w:val="ListBullet"/>
      </w:pPr>
      <w:r>
        <w:t>Perform controlled launch and operational handover.</w:t>
      </w:r>
    </w:p>
    <w:p>
      <w:pPr>
        <w:pStyle w:val="ListBullet"/>
      </w:pPr>
      <w:r>
        <w:t>Activate transition support model and response pathways.</w:t>
      </w:r>
    </w:p>
    <w:p>
      <w:pPr>
        <w:pStyle w:val="ListBullet"/>
      </w:pPr>
      <w:r>
        <w:t>Close delivery with formal acceptance and support onboarding.</w:t>
      </w:r>
    </w:p>
    <w:p>
      <w:pPr>
        <w:pStyle w:val="Heading1"/>
      </w:pPr>
      <w:r>
        <w:t>5. Deliverables and Governance Model</w:t>
      </w:r>
    </w:p>
    <w:p>
      <w:pPr>
        <w:pStyle w:val="ListBullet"/>
      </w:pPr>
      <w:r>
        <w:t>Full platform audit and executive modernization report.</w:t>
      </w:r>
    </w:p>
    <w:p>
      <w:pPr>
        <w:pStyle w:val="ListBullet"/>
      </w:pPr>
      <w:r>
        <w:t>Transformation roadmap with milestone gates and acceptance points.</w:t>
      </w:r>
    </w:p>
    <w:p>
      <w:pPr>
        <w:pStyle w:val="ListBullet"/>
      </w:pPr>
      <w:r>
        <w:t>Committee presentation pack and stakeholder walkthrough materials.</w:t>
      </w:r>
    </w:p>
    <w:p>
      <w:pPr>
        <w:pStyle w:val="ListBullet"/>
      </w:pPr>
      <w:r>
        <w:t>Verification report with evidence matrix completion.</w:t>
      </w:r>
    </w:p>
    <w:p>
      <w:pPr>
        <w:pStyle w:val="ListBullet"/>
      </w:pPr>
      <w:r>
        <w:t>Expansion recommendations for next-phase service value.</w:t>
      </w:r>
    </w:p>
    <w:p>
      <w:pPr>
        <w:pStyle w:val="ListBullet"/>
      </w:pPr>
      <w:r>
        <w:t>Six-month support/maintenance/transition service activation.</w:t>
      </w:r>
    </w:p>
    <w:p>
      <w:pPr>
        <w:pStyle w:val="ListBullet"/>
      </w:pPr>
      <w:r>
        <w:t>Included hosting and technical infrastructure operations.</w:t>
      </w:r>
    </w:p>
    <w:p>
      <w:pPr/>
      <w:r>
        <w:t>Governance cadence: weekly checkpoint reporting, milestone reviews, decision log tracking, and formal committee signoff at each delivery gate.</w:t>
      </w:r>
    </w:p>
    <w:p>
      <w:pPr>
        <w:pStyle w:val="Heading1"/>
      </w:pPr>
      <w:r>
        <w:t>6. Financial Proposition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Commercial Term (ZAR)</w:t>
            </w:r>
          </w:p>
        </w:tc>
      </w:tr>
      <w:tr>
        <w:tc>
          <w:tcPr>
            <w:tcW w:type="dxa" w:w="4320"/>
          </w:tcPr>
          <w:p>
            <w:r>
              <w:t>Immediate payment</w:t>
            </w:r>
          </w:p>
        </w:tc>
        <w:tc>
          <w:tcPr>
            <w:tcW w:type="dxa" w:w="4320"/>
          </w:tcPr>
          <w:p>
            <w:r>
              <w:t>R50,000 for platform already built, including updates, presentation, verification, and expansion.</w:t>
            </w:r>
          </w:p>
        </w:tc>
      </w:tr>
      <w:tr>
        <w:tc>
          <w:tcPr>
            <w:tcW w:type="dxa" w:w="4320"/>
          </w:tcPr>
          <w:p>
            <w:r>
              <w:t>Completion milestone</w:t>
            </w:r>
          </w:p>
        </w:tc>
        <w:tc>
          <w:tcPr>
            <w:tcW w:type="dxa" w:w="4320"/>
          </w:tcPr>
          <w:p>
            <w:r>
              <w:t>R10,000 upon final acceptance as 'Done'.</w:t>
            </w:r>
          </w:p>
        </w:tc>
      </w:tr>
      <w:tr>
        <w:tc>
          <w:tcPr>
            <w:tcW w:type="dxa" w:w="4320"/>
          </w:tcPr>
          <w:p>
            <w:r>
              <w:t>Included support period</w:t>
            </w:r>
          </w:p>
        </w:tc>
        <w:tc>
          <w:tcPr>
            <w:tcW w:type="dxa" w:w="4320"/>
          </w:tcPr>
          <w:p>
            <w:r>
              <w:t>6 months free support, maintenance, transition assistance, hosting, and technical infrastructure.</w:t>
            </w:r>
          </w:p>
        </w:tc>
      </w:tr>
      <w:tr>
        <w:tc>
          <w:tcPr>
            <w:tcW w:type="dxa" w:w="4320"/>
          </w:tcPr>
          <w:p>
            <w:r>
              <w:t>Ongoing service fee</w:t>
            </w:r>
          </w:p>
        </w:tc>
        <w:tc>
          <w:tcPr>
            <w:tcW w:type="dxa" w:w="4320"/>
          </w:tcPr>
          <w:p>
            <w:r>
              <w:t>From month 7 onward: R1,500 per month for infrastructure, support, maintenance, and hosting.</w:t>
            </w:r>
          </w:p>
        </w:tc>
      </w:tr>
    </w:tbl>
    <w:p>
      <w:pPr>
        <w:pStyle w:val="Heading1"/>
      </w:pPr>
      <w:r>
        <w:t>7. Public Interfaces and Operational Data Domains</w:t>
      </w:r>
    </w:p>
    <w:p>
      <w:pPr/>
      <w:r>
        <w:t>Primary public service interfaces in scope:</w:t>
      </w:r>
    </w:p>
    <w:p>
      <w:pPr>
        <w:pStyle w:val="ListBullet"/>
      </w:pPr>
      <w:r>
        <w:t>/incidents</w:t>
      </w:r>
    </w:p>
    <w:p>
      <w:pPr>
        <w:pStyle w:val="ListBullet"/>
      </w:pPr>
      <w:r>
        <w:t>/events</w:t>
      </w:r>
    </w:p>
    <w:p>
      <w:pPr>
        <w:pStyle w:val="ListBullet"/>
      </w:pPr>
      <w:r>
        <w:t>/register</w:t>
      </w:r>
    </w:p>
    <w:p>
      <w:pPr>
        <w:pStyle w:val="ListBullet"/>
      </w:pPr>
      <w:r>
        <w:t>/find</w:t>
      </w:r>
    </w:p>
    <w:p>
      <w:pPr>
        <w:pStyle w:val="ListBullet"/>
      </w:pPr>
      <w:r>
        <w:t>/volunteer</w:t>
      </w:r>
    </w:p>
    <w:p>
      <w:pPr>
        <w:pStyle w:val="ListBullet"/>
      </w:pPr>
      <w:r>
        <w:t>/vacation-watch</w:t>
      </w:r>
    </w:p>
    <w:p>
      <w:pPr>
        <w:pStyle w:val="ListBullet"/>
      </w:pPr>
      <w:r>
        <w:t>/start-scheme</w:t>
      </w:r>
    </w:p>
    <w:p>
      <w:pPr>
        <w:pStyle w:val="ListBullet"/>
      </w:pPr>
      <w:r>
        <w:t>/contact</w:t>
      </w:r>
    </w:p>
    <w:p>
      <w:pPr/>
      <w:r>
        <w:t>Core operational data domains in scope:</w:t>
      </w:r>
    </w:p>
    <w:p>
      <w:pPr>
        <w:pStyle w:val="ListBullet"/>
      </w:pPr>
      <w:r>
        <w:t>User</w:t>
      </w:r>
    </w:p>
    <w:p>
      <w:pPr>
        <w:pStyle w:val="ListBullet"/>
      </w:pPr>
      <w:r>
        <w:t>Incident</w:t>
      </w:r>
    </w:p>
    <w:p>
      <w:pPr>
        <w:pStyle w:val="ListBullet"/>
      </w:pPr>
      <w:r>
        <w:t>Event</w:t>
      </w:r>
    </w:p>
    <w:p>
      <w:pPr>
        <w:pStyle w:val="ListBullet"/>
      </w:pPr>
      <w:r>
        <w:t>EventRsvp</w:t>
      </w:r>
    </w:p>
    <w:p>
      <w:pPr>
        <w:pStyle w:val="ListBullet"/>
      </w:pPr>
      <w:r>
        <w:t>Zone</w:t>
      </w:r>
    </w:p>
    <w:p>
      <w:pPr>
        <w:pStyle w:val="ListBullet"/>
      </w:pPr>
      <w:r>
        <w:t>ContactMessage</w:t>
      </w:r>
    </w:p>
    <w:p>
      <w:pPr>
        <w:pStyle w:val="ListBullet"/>
      </w:pPr>
      <w:r>
        <w:t>VolunteerInterest</w:t>
      </w:r>
    </w:p>
    <w:p>
      <w:pPr>
        <w:pStyle w:val="ListBullet"/>
      </w:pPr>
      <w:r>
        <w:t>VacationWatch</w:t>
      </w:r>
    </w:p>
    <w:p>
      <w:pPr>
        <w:pStyle w:val="ListBullet"/>
      </w:pPr>
      <w:r>
        <w:t>SchemeInquiry</w:t>
      </w:r>
    </w:p>
    <w:p>
      <w:pPr>
        <w:pStyle w:val="ListBullet"/>
      </w:pPr>
      <w:r>
        <w:t>SafetyTip</w:t>
      </w:r>
    </w:p>
    <w:p>
      <w:pPr/>
      <w:r>
        <w:t>Governance references: release runbook, regression manifest, evidence matrix, and action log.</w:t>
      </w:r>
    </w:p>
    <w:p>
      <w:pPr>
        <w:pStyle w:val="Heading1"/>
      </w:pPr>
      <w:r>
        <w:t>8. Acceptance, QA, and Credibility Scenarios</w:t>
      </w:r>
    </w:p>
    <w:p>
      <w:pPr>
        <w:pStyle w:val="ListBullet"/>
      </w:pPr>
      <w:r>
        <w:t>Financial terms match approved commercial model exactly.</w:t>
      </w:r>
    </w:p>
    <w:p>
      <w:pPr>
        <w:pStyle w:val="ListBullet"/>
      </w:pPr>
      <w:r>
        <w:t>Profile claims align with extracted profile evidence.</w:t>
      </w:r>
    </w:p>
    <w:p>
      <w:pPr>
        <w:pStyle w:val="ListBullet"/>
      </w:pPr>
      <w:r>
        <w:t>Contact and signature details match approved primary details.</w:t>
      </w:r>
    </w:p>
    <w:p>
      <w:pPr>
        <w:pStyle w:val="ListBullet"/>
      </w:pPr>
      <w:r>
        <w:t>Registration flow completes with zone linkage.</w:t>
      </w:r>
    </w:p>
    <w:p>
      <w:pPr>
        <w:pStyle w:val="ListBullet"/>
      </w:pPr>
      <w:r>
        <w:t>Incident reporting persists correctly.</w:t>
      </w:r>
    </w:p>
    <w:p>
      <w:pPr>
        <w:pStyle w:val="ListBullet"/>
      </w:pPr>
      <w:r>
        <w:t>Event RSVP add/remove is reliable.</w:t>
      </w:r>
    </w:p>
    <w:p>
      <w:pPr>
        <w:pStyle w:val="ListBullet"/>
      </w:pPr>
      <w:r>
        <w:t>Contact, volunteer, vacation-watch, and start-scheme workflows validate and persist correctly.</w:t>
      </w:r>
    </w:p>
    <w:p>
      <w:pPr>
        <w:pStyle w:val="ListBullet"/>
      </w:pPr>
      <w:r>
        <w:t>Route smoke tests pass for all core public routes.</w:t>
      </w:r>
    </w:p>
    <w:p>
      <w:pPr>
        <w:pStyle w:val="ListBullet"/>
      </w:pPr>
      <w:r>
        <w:t>Evidence matrix and multi-role signoff controls are closed for release readiness.</w:t>
      </w:r>
    </w:p>
    <w:p>
      <w:pPr>
        <w:pStyle w:val="Heading1"/>
      </w:pPr>
      <w:r>
        <w:t>9. Assumptions and Defaults</w:t>
      </w:r>
    </w:p>
    <w:p>
      <w:pPr>
        <w:pStyle w:val="ListBullet"/>
      </w:pPr>
      <w:r>
        <w:t>Proposal audience: Plumstead Neighbourhood Watch Committee.</w:t>
      </w:r>
    </w:p>
    <w:p>
      <w:pPr>
        <w:pStyle w:val="ListBullet"/>
      </w:pPr>
      <w:r>
        <w:t>Delivery commitment: 8 weeks.</w:t>
      </w:r>
    </w:p>
    <w:p>
      <w:pPr>
        <w:pStyle w:val="ListBullet"/>
      </w:pPr>
      <w:r>
        <w:t>Submission pack: DOCX and PDF.</w:t>
      </w:r>
    </w:p>
    <w:p>
      <w:pPr>
        <w:pStyle w:val="ListBullet"/>
      </w:pPr>
      <w:r>
        <w:t>Pricing format: milestone narrative plus clear commercial table.</w:t>
      </w:r>
    </w:p>
    <w:p>
      <w:pPr>
        <w:pStyle w:val="ListBullet"/>
      </w:pPr>
      <w:r>
        <w:t>Profile section is an executive summary, supported by extracted profile evidence.</w:t>
      </w:r>
    </w:p>
    <w:p>
      <w:pPr>
        <w:pStyle w:val="ListBullet"/>
      </w:pPr>
      <w:r>
        <w:t>Primary contact details are as supplied in the submission request.</w:t>
      </w:r>
    </w:p>
    <w:p>
      <w:pPr>
        <w:pStyle w:val="Heading1"/>
      </w:pPr>
      <w:r>
        <w:t>10. Closeout and Sign-Off</w:t>
      </w:r>
    </w:p>
    <w:p>
      <w:pPr/>
      <w:r>
        <w:t>Proposal validity: 30 days from the submission date.</w:t>
      </w:r>
    </w:p>
    <w:p>
      <w:pPr/>
    </w:p>
    <w:p>
      <w:pPr/>
      <w:r>
        <w:t>Approved for Plumstead Neighbourhood Watch:</w:t>
      </w:r>
    </w:p>
    <w:p>
      <w:pPr/>
      <w:r>
        <w:t>Name: ______________________________</w:t>
      </w:r>
    </w:p>
    <w:p>
      <w:pPr/>
      <w:r>
        <w:t>Role: _______________________________</w:t>
      </w:r>
    </w:p>
    <w:p>
      <w:pPr/>
      <w:r>
        <w:t>Signature: __________________________</w:t>
      </w:r>
    </w:p>
    <w:p>
      <w:pPr/>
      <w:r>
        <w:t>Date: _______________________________</w:t>
      </w:r>
    </w:p>
    <w:p>
      <w:pPr/>
    </w:p>
    <w:p>
      <w:pPr/>
      <w:r>
        <w:t>Submitted by:</w:t>
      </w:r>
    </w:p>
    <w:p>
      <w:pPr/>
      <w:r>
        <w:t>Gareth Bew</w:t>
      </w:r>
    </w:p>
    <w:p>
      <w:pPr/>
      <w:r>
        <w:t>Gambew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