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ДОКУМЕНТАЦИЯ ПО ИНФОРМАЦИОННОЙ БЕЗОПАСНОСТИ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sz w:val="30"/>
          <w:szCs w:val="30"/>
        </w:rPr>
        <w:t xml:space="preserve">Автоматизированная система формирования отчётной документации по ГОСТ 34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Версия 1.0 (MVP)</w:t>
      </w:r>
    </w:p>
    <w:p>
      <w:pPr>
        <w:jc w:val="center"/>
      </w:pPr>
      <w:r>
        <w:rPr>
          <w:rFonts w:ascii="Times New Roman" w:cs="Times New Roman" w:eastAsia="Times New Roman" w:hAnsi="Times New Roman"/>
          <w:color w:val="666666"/>
          <w:sz w:val="24"/>
          <w:szCs w:val="24"/>
        </w:rPr>
        <w:t xml:space="preserve">Март 2026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Содержание: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1. Модель угроз (упрощённая)</w:t>
      </w:r>
    </w:p>
    <w:p>
      <w:pPr>
        <w:spacing w:after="6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2. Политика обработки персональных данных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3. Перечень мер защиты информации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1. Модель угроз (упрощённая)</w:t>
      </w:r>
    </w:p>
    <w:p>
      <w:pPr>
        <w:pStyle w:val="Heading2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1.1. Общие сведения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Настоящая модель угроз разработана в соответствии с методикой оценки угроз безопасности информации ФСТЭК России (2021), Приказом ФСТЭК №17, а также с учётом требований ГОСТ Р 57580.1-2017 и ISO/IEC 27005:2022.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Объект защиты: автоматизированная система формирования отчётной документации по ГОСТ 34 (далее — Система). Система относится к государственным информационным системам (ГИС) и обрабатывает персональные данные категории 4 по ПП-1119 (иные ПДн, не более 100 000 субъектов). Установленный уровень защищённости — УЗ-4.</w:t>
      </w:r>
    </w:p>
    <w:p>
      <w:pPr>
        <w:pStyle w:val="Heading2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1.2. Описание информационных активов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600"/>
        <w:gridCol w:w="1800"/>
        <w:gridCol w:w="1955"/>
      </w:tblGrid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Актив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Место хранения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Уровень критичности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Учётные записи пользователей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ФИО, email, телефон, должность, организация (ИНН/ОГРН)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 Service, PostgreSQL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Аутентификационные данные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Хеши паролей (Argon2id), TOTP-секреты (AES-256), refresh-токены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 Service, PostgreSQL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Критический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Шаблоны и справочник функций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JSON-схемы шаблонов документов, справочник функций с параметрами стоимости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Catalog Service, MongoDB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Сгенерированные документы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Файлы .docx и .xlsx (ТЗ, ЧТЗ, ПМИ, НМЦК)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MinIO (объектное хранилище)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 согласования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История статусов, решения, комментарии, привязка к user_id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Workflow Service, PostgreSQL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</w:tr>
      <w:tr>
        <w:tc>
          <w:tcPr>
            <w:tcW w:type="dxa" w:w="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Журналы аудита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Записи входов, изменений, несанкционированных попыток с IP и UA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 Service, PostgreSQL</w:t>
            </w:r>
          </w:p>
        </w:tc>
        <w:tc>
          <w:tcPr>
            <w:tcW w:type="dxa" w:w="19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</w:tr>
    </w:tbl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1.3. Перечень актуальных угроз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700"/>
        <w:gridCol w:w="2200"/>
        <w:gridCol w:w="1600"/>
        <w:gridCol w:w="1600"/>
        <w:gridCol w:w="1755"/>
      </w:tblGrid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Угроза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 сценария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Целевой актив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Вероятность / Ущерб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Компенсирующие меры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У1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Подбор паролей (brute force)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Атакующий перебирает пароли к учётным записям через форму входа или API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Учётные записи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 / Высокий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ИАФ.4: блокировка после 5 попыток, прогрессивная задержка, rate limiting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У2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Кража сессии (session hijacking)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Перехват JWT или refresh-токена через XSS, MITM или утечку логов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Аутентификац. данные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 / Высокий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УПД.2: короткий TTL JWT (15 мин), ротация refresh, привязка к IP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У3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Несанкционир. доступ к БД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Атакующий получает прямой доступ к СУБД (SQL injection, компрометация хоста)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активы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Низкая / Критический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ЗИС.3: шифрование полей, Argon2id для паролей, сетевая изоляция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У4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Превышение полномочий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Пользователь получает доступ к функциям чужой роли (IDOR, горизонтальная эскалация)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Документы, согласования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 / Средний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УПД.1: RBAC с контекстом проекта, проверка прав на уровне API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У5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Утечка ПДн через API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Ответы API содержат избыточные персональные данные (full_name, phone в открытом виде)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Учётные записи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 / Высокий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ЗИС.7: маскирование ПДн в DTO, минимизация данных между сервисами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У6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Подмена документа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Атакующий модифицирует .docx/.xlsx после генерации (man-in-the-middle или доступ к хранилищу)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Сгенерир. документы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Низкая / Высокий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ОЦЛ.1: контрольная сумма (SHA-256), проверка при выгрузке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У7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Отказ в обслуживании (DoS)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Массовые запросы на генерацию документов перегружают Generation Service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Генерация документов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 / Средний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ЗИС.5: rate limiting, очередь задач, ограничение параллельных генераций</w:t>
            </w:r>
          </w:p>
        </w:tc>
      </w:tr>
      <w:tr>
        <w:tc>
          <w:tcPr>
            <w:tcW w:type="dxa" w:w="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У8</w:t>
            </w:r>
          </w:p>
        </w:tc>
        <w:tc>
          <w:tcPr>
            <w:tcW w:type="dxa" w:w="17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Несанкц. действия инсайдера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Сотрудник с легитимным доступом выполняет неавторизованные операции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 активы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Средняя / Высокий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РСБ.1–3: полный аудит, алерты на аномалии, принцип наименьших привилегий</w:t>
            </w:r>
          </w:p>
        </w:tc>
      </w:tr>
    </w:tbl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1.4. Выводы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Для Системы определены 8 актуальных угроз. Угрозы 1-го и 2-го типа (связанные с НДВ в системном и прикладном ПО) признаны неактуальными в соответствии с ПП-1119, поскольку Система функционирует в контролируемой среде и не обрабатывает специальные категории ПДн.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Каждая угроза компенсируется мерами, соответствующими Приказу ФСТЭК №17 для ГИС 3-го класса защищённости и ISO/IEC 27001:2022. Детализация мер приведена в разделе 3 настоящего документа.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2. Политика обработки персональных данных</w:t>
      </w:r>
    </w:p>
    <w:p>
      <w:pPr>
        <w:pStyle w:val="Heading2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2.1. Общие положения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Настоящая Политика определяет порядок обработки персональных данных (далее — ПДн) в автоматизированной системе формирования отчётной документации по ГОСТ 34 (далее — Система) и разработана в соответствии с: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Федеральный закон №152-ФЗ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«О персональных данных» от 27.07.2006;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Постановление Правительства РФ №1119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 01.11.2012;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Приказ ФСТЭК России №17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 11.02.2013;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ГОСТ Р 58256-2018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«Защита информации. Идентификация и аутентификация»;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ISO/IEC 27001:2022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«Управление информационной безопасностью».</w:t>
      </w:r>
    </w:p>
    <w:p>
      <w:pPr>
        <w:pStyle w:val="Heading2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2.2. Категории субъектов и состав ПДн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1400"/>
        <w:gridCol w:w="1600"/>
        <w:gridCol w:w="1755"/>
      </w:tblGrid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Категория субъекта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Перечень ПДн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Правовое основание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Цель обработки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 хранения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Сотрудники заказчика (руководитель, администратор)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ФИО, email (корп.), телефон, должность, ИНН/ОГРН организации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Согласие субъекта (ст. 9 152-ФЗ), исполнение договора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Идентификация, аутентификация, разграничение доступа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деактивации аккаунта + 30 дней</w:t>
            </w:r>
          </w:p>
        </w:tc>
      </w:tr>
      <w:tr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Сотрудники подрядчика (руководитель, администратор, аналитик)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ФИО, email (корп.), телефон, должность, ИНН/ОГРН организации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Согласие субъекта (ст. 9 152-ФЗ), исполнение договора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Идентификация, аутентификация, разграничение доступа</w:t>
            </w:r>
          </w:p>
        </w:tc>
        <w:tc>
          <w:tcPr>
            <w:tcW w:type="dxa" w:w="17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деактивации аккаунта + 30 дней</w:t>
            </w:r>
          </w:p>
        </w:tc>
      </w:tr>
    </w:tbl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2.3. Классификация ПДн по уровням чувствительности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1600"/>
        <w:gridCol w:w="1555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Данные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Уровень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Способ защиты при хранении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Маскирование в API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Место хранения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Шифрование AES-256 на уровне поля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+7916***4567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 Service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TOTP-секреты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Высокий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Шифрование AES-256, отдельный ключ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передаётся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 Service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ФИО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Открытый текст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Иванов И.А. (сокращение)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 Service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Открытый текст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iva***@domain.ru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 Service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Должность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Открытый текст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Без маскирования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 Service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IP-адрес, User-Agent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Средний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Открытый текст, TTL 12 мес.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Только для администратора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Auth Service (audit_log)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user_id (UUID) в Workflow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Низкий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Псевдоним (без ФИО)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маскируется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Workflow Service</w:t>
            </w:r>
          </w:p>
        </w:tc>
      </w:tr>
    </w:tbl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2.4. Сроки хранения и процедура уничтожения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1600"/>
        <w:gridCol w:w="1555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Данные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Срок хранения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Действие по истечении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Периодичность проверки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Основание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ФИО, email, должность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деактивации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Обезличивание: замена на «Пользователь [UUID]»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Ежедневно (cron)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5 152-ФЗ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деактивации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удаление (DELETE)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Ежедневно (cron)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5 152-ФЗ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входов (IP, UA)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12 месяцев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удаление (DELETE)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Ежедневно (cron)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РСБ ФСТЭК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История паролей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 записей (FIFO)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старейшей при добавлении новой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смене пароля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ИАФ.4 ФСТЭК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Сессии (refresh tokens)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 дней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Автоматическое удаление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Ежедневно (cron)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УПД.2 ФСТЭК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TOTP-секреты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деактивации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удаление (DELETE)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деактивации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5 152-ФЗ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Записи согласия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 деактивации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Удаление вместе с аккаунтом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деактивации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ст. 9 152-ФЗ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История согласований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лет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Архивирование, затем удаление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Ежеквартально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Отчётность по ГК</w:t>
            </w:r>
          </w:p>
        </w:tc>
      </w:tr>
    </w:tbl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2.5. Права субъекта персональных данных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В соответствии со статьями 14–17 152-ФЗ субъект ПДн имеет право: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55"/>
        <w:gridCol w:w="32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Право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Реализация в API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Право на доступ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Получение информации о составе обрабатываемых ПДн, целях и сроках обработки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GET /api/auth/me/personal-data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Право на уточнение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Обновление ФИО, email, телефона, должности через личный кабинет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PUT /api/auth/me/profile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Право на удаление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Запрос на деактивацию аккаунта и обезличивание ПДн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POST /api/auth/me/deactivate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Право на отзыв согласия</w:t>
            </w:r>
          </w:p>
        </w:tc>
        <w:tc>
          <w:tcPr>
            <w:tcW w:type="dxa" w:w="41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Отзыв согласия на обработку ПДн с последующей деактивацией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DELETE /api/auth/me/consent</w:t>
            </w:r>
          </w:p>
        </w:tc>
      </w:tr>
    </w:tbl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2.6. Принцип псевдонимизации между сервисами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Workflow Service и Catalog Service не хранят персональные данные. Они оперируют исключительно идентификатором user_id (UUID). Для отображения ФИО пользователя в интерфейсе фронтенд выполняет отдельный запрос к Auth Service. В случае компрометации базы данных Workflow Service атакующий получит список UUID и действий, но не сможет установить связь с конкретными физическими лицами без доступа к Auth Service.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Данный подход реализует принцип минимизации персональных данных (ст. 5 152-ФЗ): каждый микросервис хранит только те данные, которые необходимы для выполнения его функции.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3. Перечень мер защиты информации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Настоящий раздел содержит маппинг требований нормативных документов на конкретные технические и организационные меры, реализованные в Системе.</w:t>
      </w:r>
    </w:p>
    <w:p>
      <w:pPr>
        <w:pStyle w:val="Heading2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3.1. Идентификация и аутентификация (ИАФ)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1200"/>
        <w:gridCol w:w="1555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Мера ФСТЭК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Реализация в Системе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ISO 27001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ГОСТ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ИАФ.1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Идентификация и аутентификация пользователей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UUID (неизменяемый, не переиспользуемый) в качестве идентификатора. Аутентификация по email + пароль. Аккаунты создаются администратором проекта, не через открытую регистрацию.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A.9.2.1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 Р 58256 §5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ИАФ.2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Идентификация устройств (при необходимости)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 MVP не реализовано. Заложена архитектурная возможность привязки сессии к IP + User-Agent.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A.9.2.5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ИАФ.3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Многофакторная аутентификация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TOTP (RFC 6238): обязательна для роли «руководитель проекта» (обе стороны), рекомендована для остальных. Backup-коды (одноразовые) для восстановления.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A.9.4.2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 Р 58256 §6.2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ИАФ.4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Управление аутентификаторами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Парольная политика: минимум 12 символов, 3 из 4 категорий символов, история 10 паролей, срок действия 90 дней. Хеширование Argon2id (cost ≥ 12). Блокировка после 5 неудачных попыток на 30 мин.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A.9.4.3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 Р 58256 §6.1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ИАФ.5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Защита обратной связи аутентификации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Единообразное сообщение об ошибке: «Неверный email или пароль» (без указания, какой параметр неверен). Скрытие наличия аккаунта при восстановлении.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A.9.4.2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3.2. Управление доступом (УПД)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1200"/>
        <w:gridCol w:w="1555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Мера ФСТЭК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Реализация в Системе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ISO 27001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ГОСТ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УПД.1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Управление учётными записями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Создание/деактивация — только администратор проекта. Роль привязана к контексту: пользователь × проект × сторона (заказчик/подрядчик). Принцип наименьших привилегий.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A.9.1.1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УПД.2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Управление сессиями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JWT (RS256) с TTL 15 мин. Refresh-токен (7 дней) с ротацией. Idle timeout 30 мин. Максимум 3 параллельных сессии. Принудительный logout администратором.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A.9.4.2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УПД.3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Разграничение доступа на основе ролей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RBAC: 6 ролей (pm/admin/analyst × заказчик/подрядчик). Permissions привязаны к ресурсам и действиям (doc.edit, doc.approve, cost.approve и др.). Проверка прав на каждом API-запросе.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A.9.1.2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УПД.4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Минимизация привилегий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Аналитик: только чтение/редактирование документов + частичное согласование. Администратор: управление аккаунтами, но не согласование стоимости. Руководитель: согласование, но не администрирование.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A.9.1.1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3.3. Регистрация событий безопасности (РСБ)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1200"/>
        <w:gridCol w:w="1555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Мера ФСТЭК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Реализация в Системе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ISO 27001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ГОСТ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РСБ.1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Определение событий, подлежащих регистрации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Регистрируются: вход/выход (успех/неуспех), смена пароля, изменение роли, активация/деактивация 2FA, попытки доступа без прав, создание/деактивация аккаунтов, все операции согласования.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A.12.4.1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РСБ.2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Содержание записей аудита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Каждая запись: timestamp, user_id, action, IP-адрес, User-Agent, результат (success/failure), details (JSONB — контекст: старое/новое значение, target_id).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A.12.4.1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РСБ.3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Защита журналов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Таблица audit_log: append-only (приложение имеет только INSERT, без UPDATE/DELETE). Срок хранения 12 месяцев. Доступ к чтению — только роль администратора.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A.12.4.2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3.4. Защита информационной системы и данных (ЗИС)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1200"/>
        <w:gridCol w:w="1555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Мера ФСТЭК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Реализация в Системе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ISO 27001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ГОСТ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ЗИС.3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Защита информации при передаче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TLS 1.2+ на всех соединениях (включая межсервисные). nginx как TLS-терминатор. Заголовки: HSTS, X-Content-Type-Options, X-Frame-Options. В продакшене — сертификат от аккредитованного УЦ.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A.13.1.1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 Р 57580.1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ЗИС.5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Защита от DoS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Rate limiting: 20 запросов/мин на /auth/login с одного IP. Ограничение параллельных генераций документов. В v2 — балансировщик нагрузки.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A.13.1.3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ЗИС.7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Минимизация данных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Field-level encryption (AES-256) для телефона и TOTP-секретов. Маскирование ПДн в API-ответах по ролям. Псевдонимизация между сервисами (UUID вместо ФИО).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A.10.1.1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 Р 58256 §7</w:t>
            </w:r>
          </w:p>
        </w:tc>
      </w:tr>
    </w:tbl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3.5. Обеспечение целостности (ОЦЛ)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200"/>
        <w:gridCol w:w="1200"/>
        <w:gridCol w:w="1555"/>
      </w:tblGrid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Мера ФСТЭК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Реализация в Системе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ISO 27001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ГОСТ</w:t>
            </w:r>
          </w:p>
        </w:tc>
      </w:tr>
      <w:tr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ОЦЛ.1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Контроль целостности документов</w:t>
            </w:r>
          </w:p>
        </w:tc>
        <w:tc>
          <w:tcPr>
            <w:tcW w:type="dxa" w:w="3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SHA-256 контрольная сумма вычисляется при генерации .docx/.xlsx и сохраняется в метаданных документа. При выгрузке — автоматическая верификация. Расхождение → блокировка выгрузки + запись в аудит.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A.14.2.2</w:t>
            </w:r>
          </w:p>
        </w:tc>
        <w:tc>
          <w:tcPr>
            <w:tcW w:type="dxa" w:w="15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3.6. Сводная матрица покрытия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Таблица демонстрирует соответствие реализованных мер требованиям трёх нормативных документов.</w:t>
      </w:r>
    </w:p>
    <w:tbl>
      <w:tblPr>
        <w:tblW w:type="dxa" w:w="935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55"/>
      </w:tblGrid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Область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ФСТЭК №17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ISO/IEC 27001:2022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ГОСТ / ПП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Идентификация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ИАФ.1, ИАФ.3, ИАФ.4, ИАФ.5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A.9.2.1, A.9.4.2, A.9.4.3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 Р 58256 §5, §6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Управление доступом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УПД.1, УПД.2, УПД.3, УПД.4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A.9.1.1, A.9.1.2, A.9.4.2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Аудит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РСБ.1, РСБ.2, РСБ.3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A.12.4.1, A.12.4.2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Защита данных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ЗИС.3, ЗИС.5, ЗИС.7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A.10.1.1, A.13.1.1, A.13.1.3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ГОСТ Р 57580.1, ГОСТ Р 58256 §7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Целостность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ОЦЛ.1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A.14.2.2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Персональные данные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152-ФЗ ст. 5, 9, 14–17, 18.1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5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ПП-1119 (УЗ-4)</w:t>
            </w:r>
          </w:p>
        </w:tc>
      </w:tr>
    </w:tbl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/>
      </w:r>
    </w:p>
    <w:p>
      <w:pPr>
        <w:pStyle w:val="Heading2"/>
        <w:spacing w:before="240" w:after="1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3.7. Ограничения MVP и план развития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Ряд мер реализован в упрощённом виде, что допустимо для учебного проекта, но требует доработки при вводе в промышленную эксплуатацию: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Управление ключами шифрования.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MVP ключи AES-256 хранятся в переменных окружения. В продакшене необходимо использовать HSM или HashiCorp Vault.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TLS-сертификаты.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MVP используется самоподписанный сертификат. В продакшене — сертификат от аккредитованного УЦ.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Мониторинг и реагирование.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v2 планируется подключение Observability-стека (Prometheus + Grafana + Loki) с алертами на аномалии безопасности.</w:t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Резервное копирование.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В v2 планируется реализация регулярного резервного копирования PostgreSQL и MongoDB с шифрованием бэкапов.</w:t>
      </w:r>
    </w:p>
    <w:sectPr>
      <w:headerReference w:type="default" r:id="rId6"/>
      <w:footerReference w:type="default" r:id="rId7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Страница </w:t>
    </w:r>
    <w:r>
      <w:rPr>
        <w:rFonts w:ascii="Times New Roman" w:cs="Times New Roman" w:eastAsia="Times New Roman" w:hAnsi="Times New Roman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Times New Roman" w:cs="Times New Roman" w:eastAsia="Times New Roman" w:hAnsi="Times New Roman"/>
        <w:color w:val="808080"/>
        <w:sz w:val="18"/>
        <w:szCs w:val="18"/>
      </w:rPr>
      <w:t xml:space="preserve">Система формирования документации по ГОСТ 34 — Документация по безопасности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Times New Roman" w:cs="Times New Roman" w:eastAsia="Times New Roman" w:hAnsi="Times New Roman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2026-03-14T18:28:04.994Z</dcterms:created>
  <dcterms:modified xsi:type="dcterms:W3CDTF">2026-03-14T18:28:04.995Z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