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09C" w:rsidRDefault="0099609C" w:rsidP="0099609C">
      <w:pPr>
        <w:pStyle w:val="Heading2"/>
      </w:pPr>
      <w:bookmarkStart w:id="0" w:name="vidhit-law-associates"/>
      <w:bookmarkStart w:id="1" w:name="get-in-touch"/>
      <w:r>
        <w:rPr>
          <w:rStyle w:val="Strong"/>
          <w:b w:val="0"/>
          <w:bCs w:val="0"/>
        </w:rPr>
        <w:t>VIDHIT LAW ASSOCIATES</w:t>
      </w:r>
    </w:p>
    <w:p w:rsidR="0099609C" w:rsidRDefault="0099609C" w:rsidP="0099609C">
      <w:pPr>
        <w:pStyle w:val="NormalWeb"/>
      </w:pPr>
      <w:r>
        <w:rPr>
          <w:rStyle w:val="Strong"/>
        </w:rPr>
        <w:t>Professional | Strategic | Result-Oriented Legal Solutions</w:t>
      </w:r>
      <w:r>
        <w:br/>
      </w:r>
      <w:r>
        <w:rPr>
          <w:rStyle w:val="Emphasis"/>
        </w:rPr>
        <w:t>Where Law Meets Trust — Advice that Matters, Crafted in the Art of Law</w:t>
      </w:r>
    </w:p>
    <w:p w:rsidR="0099609C" w:rsidRDefault="00A87E53" w:rsidP="0099609C">
      <w:r>
        <w:pict>
          <v:rect id="_x0000_i1025" style="width:0;height:1.5pt" o:hralign="center" o:hrstd="t" o:hr="t" fillcolor="#a0a0a0" stroked="f"/>
        </w:pict>
      </w:r>
    </w:p>
    <w:p w:rsidR="0099609C" w:rsidRDefault="0099609C" w:rsidP="0099609C">
      <w:pPr>
        <w:pStyle w:val="Heading2"/>
      </w:pPr>
      <w:r>
        <w:rPr>
          <w:rStyle w:val="Strong"/>
          <w:b w:val="0"/>
          <w:bCs w:val="0"/>
        </w:rPr>
        <w:t>About Us</w:t>
      </w:r>
    </w:p>
    <w:p w:rsidR="0099609C" w:rsidRDefault="0099609C" w:rsidP="0099609C">
      <w:pPr>
        <w:pStyle w:val="NormalWeb"/>
        <w:jc w:val="both"/>
      </w:pPr>
      <w:r>
        <w:t>VIDHIT Law Associates is a full-service law firm committed to delivering precise, ethical, and result-oriented legal solutions to individuals, businesses, and institutions. With a strong foundation in litigation, advisory, and dispute resolution, the Firm blends deep legal expertise with a client-centric approach to protect rights, manage risks, and achieve favorable outcomes.</w:t>
      </w:r>
    </w:p>
    <w:p w:rsidR="0099609C" w:rsidRDefault="0099609C" w:rsidP="0099609C">
      <w:pPr>
        <w:pStyle w:val="NormalWeb"/>
        <w:jc w:val="both"/>
      </w:pPr>
      <w:r>
        <w:t>At VIDHIT Law Associates, we believe that the true purpose of legal practice lies in the pursuit of justice. Our services are driven by integrity, diligence, and professional excellence. The Firm is strengthened by a team of experienced legal professionals possessing extensive knowledge across diverse fields of law, with years of practice representing clients before various courts, tribunals, and statutory authorities across the State of Bihar.</w:t>
      </w:r>
    </w:p>
    <w:p w:rsidR="0099609C" w:rsidRDefault="0099609C" w:rsidP="0099609C">
      <w:pPr>
        <w:pStyle w:val="NormalWeb"/>
        <w:jc w:val="both"/>
      </w:pPr>
      <w:r>
        <w:t>Our practice is not confined to courtroom advocacy alone. We offer comprehensive and strategic legal advisory services to individuals, corporate entities, financial institutions, and government organizations. The Firm has earned recognition for its expertise in handling a wide spectrum of legal issues, particularly in the areas of dispute resolution, banking and insurance laws, corporate compliance and governance, and advisory support to the rapidly growing real estate sector.</w:t>
      </w:r>
    </w:p>
    <w:p w:rsidR="0099609C" w:rsidRDefault="0099609C" w:rsidP="0099609C">
      <w:pPr>
        <w:pStyle w:val="NormalWeb"/>
        <w:jc w:val="both"/>
      </w:pPr>
      <w:r>
        <w:t>VIDHIT Law Associates also provides end-to-end legal assistance in both domestic and international matters, including advisory services for setting up and operating businesses in India, ensuring regulatory compliance, and facilitating sustainable and compliant growth.</w:t>
      </w:r>
    </w:p>
    <w:p w:rsidR="0099609C" w:rsidRDefault="00A87E53" w:rsidP="0099609C">
      <w:r>
        <w:pict>
          <v:rect id="_x0000_i1026" style="width:0;height:1.5pt" o:hralign="center" o:hrstd="t" o:hr="t" fillcolor="#a0a0a0" stroked="f"/>
        </w:pict>
      </w:r>
    </w:p>
    <w:p w:rsidR="0099609C" w:rsidRDefault="0099609C" w:rsidP="0099609C">
      <w:pPr>
        <w:pStyle w:val="Heading2"/>
      </w:pPr>
      <w:r>
        <w:rPr>
          <w:rStyle w:val="Strong"/>
          <w:b w:val="0"/>
          <w:bCs w:val="0"/>
        </w:rPr>
        <w:t>Principal Approach</w:t>
      </w:r>
    </w:p>
    <w:p w:rsidR="0099609C" w:rsidRDefault="0099609C" w:rsidP="0099609C">
      <w:pPr>
        <w:pStyle w:val="NormalWeb"/>
        <w:jc w:val="both"/>
      </w:pPr>
      <w:r>
        <w:t>At VIDHIT Law Associates, our approach is founded on integrity, clarity, and meaningful client partnership. We strive to deliver legal services that are practical, responsive, and value-driven, guided by the following core principles:</w:t>
      </w:r>
    </w:p>
    <w:p w:rsidR="0099609C" w:rsidRDefault="0099609C" w:rsidP="00E90F5F">
      <w:pPr>
        <w:pStyle w:val="NormalWeb"/>
        <w:numPr>
          <w:ilvl w:val="0"/>
          <w:numId w:val="1"/>
        </w:numPr>
      </w:pPr>
      <w:r>
        <w:rPr>
          <w:rStyle w:val="Strong"/>
        </w:rPr>
        <w:t>Building Trusting and Long-Lasting Client Relationships</w:t>
      </w:r>
      <w:r>
        <w:br/>
      </w:r>
      <w:proofErr w:type="gramStart"/>
      <w:r>
        <w:t>We</w:t>
      </w:r>
      <w:proofErr w:type="gramEnd"/>
      <w:r>
        <w:t xml:space="preserve"> believe enduring relationships are built on trust, transparency, and consistent results.</w:t>
      </w:r>
    </w:p>
    <w:p w:rsidR="0099609C" w:rsidRDefault="0099609C" w:rsidP="00E90F5F">
      <w:pPr>
        <w:pStyle w:val="NormalWeb"/>
        <w:numPr>
          <w:ilvl w:val="0"/>
          <w:numId w:val="1"/>
        </w:numPr>
      </w:pPr>
      <w:r>
        <w:rPr>
          <w:rStyle w:val="Strong"/>
        </w:rPr>
        <w:t>Analytical and Logical Approach to Legal Issues</w:t>
      </w:r>
      <w:r>
        <w:br/>
      </w:r>
      <w:proofErr w:type="gramStart"/>
      <w:r>
        <w:t>Each</w:t>
      </w:r>
      <w:proofErr w:type="gramEnd"/>
      <w:r>
        <w:t xml:space="preserve"> matter is examined through rigorous legal analysis and strategic reasoning.</w:t>
      </w:r>
    </w:p>
    <w:p w:rsidR="0099609C" w:rsidRDefault="0099609C" w:rsidP="00E90F5F">
      <w:pPr>
        <w:pStyle w:val="NormalWeb"/>
        <w:numPr>
          <w:ilvl w:val="0"/>
          <w:numId w:val="1"/>
        </w:numPr>
      </w:pPr>
      <w:r>
        <w:rPr>
          <w:rStyle w:val="Strong"/>
        </w:rPr>
        <w:t>Cost-Effective Legal Advice</w:t>
      </w:r>
      <w:r>
        <w:br/>
        <w:t>Practical and efficient legal solutions delivered with cost consciousness, without compromising quality.</w:t>
      </w:r>
    </w:p>
    <w:p w:rsidR="0099609C" w:rsidRDefault="0099609C" w:rsidP="00E90F5F">
      <w:pPr>
        <w:pStyle w:val="NormalWeb"/>
        <w:numPr>
          <w:ilvl w:val="0"/>
          <w:numId w:val="1"/>
        </w:numPr>
      </w:pPr>
      <w:r>
        <w:rPr>
          <w:rStyle w:val="Strong"/>
        </w:rPr>
        <w:lastRenderedPageBreak/>
        <w:t>Transparent and Time-Bound Services</w:t>
      </w:r>
      <w:r>
        <w:br/>
        <w:t>Clear processes, accountability, and a strong commitment to timely delivery.</w:t>
      </w:r>
    </w:p>
    <w:p w:rsidR="0099609C" w:rsidRDefault="0099609C" w:rsidP="00E90F5F">
      <w:pPr>
        <w:pStyle w:val="NormalWeb"/>
        <w:numPr>
          <w:ilvl w:val="0"/>
          <w:numId w:val="1"/>
        </w:numPr>
      </w:pPr>
      <w:r>
        <w:rPr>
          <w:rStyle w:val="Strong"/>
        </w:rPr>
        <w:t>Confidentiality and Privacy of Client Information</w:t>
      </w:r>
      <w:r>
        <w:br/>
      </w:r>
      <w:proofErr w:type="gramStart"/>
      <w:r>
        <w:t>The</w:t>
      </w:r>
      <w:proofErr w:type="gramEnd"/>
      <w:r>
        <w:t xml:space="preserve"> highest standards of confidentiality are maintained at all times.</w:t>
      </w:r>
    </w:p>
    <w:p w:rsidR="0099609C" w:rsidRDefault="0099609C" w:rsidP="00E90F5F">
      <w:pPr>
        <w:pStyle w:val="NormalWeb"/>
        <w:numPr>
          <w:ilvl w:val="0"/>
          <w:numId w:val="1"/>
        </w:numPr>
      </w:pPr>
      <w:r>
        <w:rPr>
          <w:rStyle w:val="Strong"/>
        </w:rPr>
        <w:t>Value Addition at Every Stage</w:t>
      </w:r>
      <w:r>
        <w:br/>
      </w:r>
      <w:proofErr w:type="gramStart"/>
      <w:r>
        <w:t>We</w:t>
      </w:r>
      <w:proofErr w:type="gramEnd"/>
      <w:r>
        <w:t xml:space="preserve"> aim to create measurable value throughout the course of representation.</w:t>
      </w:r>
    </w:p>
    <w:p w:rsidR="0099609C" w:rsidRDefault="0099609C" w:rsidP="00E90F5F">
      <w:pPr>
        <w:pStyle w:val="NormalWeb"/>
        <w:numPr>
          <w:ilvl w:val="0"/>
          <w:numId w:val="1"/>
        </w:numPr>
      </w:pPr>
      <w:r>
        <w:rPr>
          <w:rStyle w:val="Strong"/>
        </w:rPr>
        <w:t xml:space="preserve">Client </w:t>
      </w:r>
      <w:proofErr w:type="gramStart"/>
      <w:r>
        <w:rPr>
          <w:rStyle w:val="Strong"/>
        </w:rPr>
        <w:t>Counseling</w:t>
      </w:r>
      <w:proofErr w:type="gramEnd"/>
      <w:r>
        <w:rPr>
          <w:rStyle w:val="Strong"/>
        </w:rPr>
        <w:t xml:space="preserve"> and Legal Guidance</w:t>
      </w:r>
      <w:r>
        <w:br/>
        <w:t>Clear guidance on legal risks, options, and potential outcomes.</w:t>
      </w:r>
    </w:p>
    <w:p w:rsidR="0099609C" w:rsidRDefault="0099609C" w:rsidP="00E90F5F">
      <w:pPr>
        <w:pStyle w:val="NormalWeb"/>
        <w:numPr>
          <w:ilvl w:val="0"/>
          <w:numId w:val="1"/>
        </w:numPr>
      </w:pPr>
      <w:r>
        <w:rPr>
          <w:rStyle w:val="Strong"/>
        </w:rPr>
        <w:t>Effective and Practical Legal Solutions</w:t>
      </w:r>
      <w:r>
        <w:br/>
        <w:t>Advice that is solution-oriented, legally sound, and aligned with client objectives.</w:t>
      </w:r>
    </w:p>
    <w:p w:rsidR="0099609C" w:rsidRDefault="00A87E53" w:rsidP="0099609C">
      <w:r>
        <w:pict>
          <v:rect id="_x0000_i1027" style="width:0;height:1.5pt" o:hralign="center" o:hrstd="t" o:hr="t" fillcolor="#a0a0a0" stroked="f"/>
        </w:pict>
      </w:r>
    </w:p>
    <w:p w:rsidR="0099609C" w:rsidRDefault="0099609C" w:rsidP="0099609C">
      <w:pPr>
        <w:pStyle w:val="Heading2"/>
        <w:rPr>
          <w:rStyle w:val="Strong"/>
          <w:b w:val="0"/>
          <w:bCs w:val="0"/>
        </w:rPr>
      </w:pPr>
      <w:r>
        <w:rPr>
          <w:rStyle w:val="Strong"/>
          <w:b w:val="0"/>
          <w:bCs w:val="0"/>
        </w:rPr>
        <w:t>Practice Areas</w:t>
      </w:r>
    </w:p>
    <w:tbl>
      <w:tblPr>
        <w:tblW w:w="13620" w:type="dxa"/>
        <w:tblInd w:w="96" w:type="dxa"/>
        <w:tblLook w:val="04A0"/>
      </w:tblPr>
      <w:tblGrid>
        <w:gridCol w:w="12767"/>
        <w:gridCol w:w="266"/>
        <w:gridCol w:w="266"/>
        <w:gridCol w:w="266"/>
        <w:gridCol w:w="266"/>
        <w:gridCol w:w="266"/>
        <w:gridCol w:w="266"/>
      </w:tblGrid>
      <w:tr w:rsidR="004F1785" w:rsidRPr="004F1785" w:rsidTr="004F1785">
        <w:trPr>
          <w:trHeight w:val="615"/>
        </w:trPr>
        <w:tc>
          <w:tcPr>
            <w:tcW w:w="13620" w:type="dxa"/>
            <w:gridSpan w:val="7"/>
            <w:tcBorders>
              <w:top w:val="single" w:sz="4" w:space="0" w:color="auto"/>
              <w:left w:val="single" w:sz="4" w:space="0" w:color="auto"/>
              <w:bottom w:val="single" w:sz="4" w:space="0" w:color="auto"/>
              <w:right w:val="nil"/>
            </w:tcBorders>
            <w:shd w:val="clear" w:color="000000" w:fill="808080"/>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Civil, Criminal &amp; Constitutional Matters</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Service &amp; Employment Law</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Banking, Insurance &amp; Financial Disputes</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Commercial Litigation &amp; Arbitration</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DISPUTE RESOLUTION- Litigation, Arbitration &amp; Mediation</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Corporate &amp; Business Laws</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proofErr w:type="spellStart"/>
            <w:r w:rsidRPr="004F1785">
              <w:rPr>
                <w:rFonts w:ascii="Calibri" w:eastAsia="Times New Roman" w:hAnsi="Calibri" w:cs="Calibri"/>
                <w:b/>
                <w:bCs/>
                <w:color w:val="FFFFFF"/>
                <w:sz w:val="22"/>
                <w:szCs w:val="22"/>
                <w:lang w:bidi="hi-IN"/>
              </w:rPr>
              <w:t>Labour</w:t>
            </w:r>
            <w:proofErr w:type="spellEnd"/>
            <w:r w:rsidRPr="004F1785">
              <w:rPr>
                <w:rFonts w:ascii="Calibri" w:eastAsia="Times New Roman" w:hAnsi="Calibri" w:cs="Calibri"/>
                <w:b/>
                <w:bCs/>
                <w:color w:val="FFFFFF"/>
                <w:sz w:val="22"/>
                <w:szCs w:val="22"/>
                <w:lang w:bidi="hi-IN"/>
              </w:rPr>
              <w:t>, Industrial &amp; Employment Relations</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CONTRACT DRAFTING &amp; AGREEMENTS</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Real Estate (RERA) &amp; Infrastructure &amp; Project Disputes</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Election Law &amp; Representation</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proofErr w:type="spellStart"/>
            <w:r w:rsidRPr="004F1785">
              <w:rPr>
                <w:rFonts w:ascii="Calibri" w:eastAsia="Times New Roman" w:hAnsi="Calibri" w:cs="Calibri"/>
                <w:b/>
                <w:bCs/>
                <w:color w:val="FFFFFF"/>
                <w:sz w:val="22"/>
                <w:szCs w:val="22"/>
                <w:lang w:bidi="hi-IN"/>
              </w:rPr>
              <w:t>nsolvency</w:t>
            </w:r>
            <w:proofErr w:type="spellEnd"/>
            <w:r w:rsidRPr="004F1785">
              <w:rPr>
                <w:rFonts w:ascii="Calibri" w:eastAsia="Times New Roman" w:hAnsi="Calibri" w:cs="Calibri"/>
                <w:b/>
                <w:bCs/>
                <w:color w:val="FFFFFF"/>
                <w:sz w:val="22"/>
                <w:szCs w:val="22"/>
                <w:lang w:bidi="hi-IN"/>
              </w:rPr>
              <w:t>, Bankruptcy &amp; Taxation</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FRANCHISING/ LICENSING AGREEMENT/ DISTRIBUTORSHIP AGREEMENT</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910" w:type="dxa"/>
            <w:gridSpan w:val="2"/>
            <w:tcBorders>
              <w:top w:val="single" w:sz="4" w:space="0" w:color="auto"/>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INTELLECTUAL PROPERTY -TRADEMARK, PATENT, COPYRIGHT -Filing &amp; Infringement</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EDUCATION AND ENVIORNMENT</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288"/>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STARTUPS</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300"/>
        </w:trPr>
        <w:tc>
          <w:tcPr>
            <w:tcW w:w="12767" w:type="dxa"/>
            <w:tcBorders>
              <w:top w:val="nil"/>
              <w:left w:val="single" w:sz="4" w:space="0" w:color="auto"/>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EPF &amp; SOCIAL SECURITY LAWS</w:t>
            </w:r>
          </w:p>
        </w:tc>
        <w:tc>
          <w:tcPr>
            <w:tcW w:w="143"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c>
          <w:tcPr>
            <w:tcW w:w="142" w:type="dxa"/>
            <w:tcBorders>
              <w:top w:val="nil"/>
              <w:left w:val="nil"/>
              <w:bottom w:val="single" w:sz="4" w:space="0" w:color="auto"/>
              <w:right w:val="nil"/>
            </w:tcBorders>
            <w:shd w:val="clear" w:color="000000" w:fill="808080"/>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 </w:t>
            </w:r>
          </w:p>
        </w:tc>
      </w:tr>
      <w:tr w:rsidR="004F1785" w:rsidRPr="004F1785" w:rsidTr="004F1785">
        <w:trPr>
          <w:trHeight w:val="312"/>
        </w:trPr>
        <w:tc>
          <w:tcPr>
            <w:tcW w:w="12767"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rsidR="004F1785" w:rsidRPr="004F1785" w:rsidRDefault="004F1785" w:rsidP="004F1785">
            <w:pPr>
              <w:spacing w:after="0"/>
              <w:rPr>
                <w:rFonts w:ascii="Calibri" w:eastAsia="Times New Roman" w:hAnsi="Calibri" w:cs="Calibri"/>
                <w:b/>
                <w:bCs/>
                <w:color w:val="FFFFFF"/>
                <w:sz w:val="22"/>
                <w:szCs w:val="22"/>
                <w:lang w:bidi="hi-IN"/>
              </w:rPr>
            </w:pPr>
            <w:r w:rsidRPr="004F1785">
              <w:rPr>
                <w:rFonts w:ascii="Calibri" w:eastAsia="Times New Roman" w:hAnsi="Calibri" w:cs="Calibri"/>
                <w:b/>
                <w:bCs/>
                <w:color w:val="FFFFFF"/>
                <w:sz w:val="22"/>
                <w:szCs w:val="22"/>
                <w:lang w:bidi="hi-IN"/>
              </w:rPr>
              <w:t>FAMILY &amp; MATRIMONIAL DISPUTE</w:t>
            </w:r>
          </w:p>
        </w:tc>
        <w:tc>
          <w:tcPr>
            <w:tcW w:w="143" w:type="dxa"/>
            <w:tcBorders>
              <w:top w:val="nil"/>
              <w:left w:val="nil"/>
              <w:bottom w:val="nil"/>
              <w:right w:val="nil"/>
            </w:tcBorders>
            <w:shd w:val="clear" w:color="auto" w:fill="auto"/>
            <w:noWrap/>
            <w:vAlign w:val="bottom"/>
            <w:hideMark/>
          </w:tcPr>
          <w:p w:rsidR="004F1785" w:rsidRPr="004F1785" w:rsidRDefault="004F1785" w:rsidP="004F1785">
            <w:pPr>
              <w:spacing w:after="0"/>
              <w:rPr>
                <w:rFonts w:ascii="Calibri" w:eastAsia="Times New Roman" w:hAnsi="Calibri" w:cs="Calibri"/>
                <w:color w:val="000000"/>
                <w:sz w:val="22"/>
                <w:szCs w:val="22"/>
                <w:lang w:bidi="hi-IN"/>
              </w:rPr>
            </w:pPr>
          </w:p>
        </w:tc>
        <w:tc>
          <w:tcPr>
            <w:tcW w:w="142" w:type="dxa"/>
            <w:tcBorders>
              <w:top w:val="nil"/>
              <w:left w:val="nil"/>
              <w:bottom w:val="nil"/>
              <w:right w:val="nil"/>
            </w:tcBorders>
            <w:shd w:val="clear" w:color="auto" w:fill="auto"/>
            <w:noWrap/>
            <w:vAlign w:val="bottom"/>
            <w:hideMark/>
          </w:tcPr>
          <w:p w:rsidR="004F1785" w:rsidRPr="004F1785" w:rsidRDefault="004F1785" w:rsidP="004F1785">
            <w:pPr>
              <w:spacing w:after="0"/>
              <w:rPr>
                <w:rFonts w:ascii="Calibri" w:eastAsia="Times New Roman" w:hAnsi="Calibri" w:cs="Calibri"/>
                <w:color w:val="000000"/>
                <w:sz w:val="22"/>
                <w:szCs w:val="22"/>
                <w:lang w:bidi="hi-IN"/>
              </w:rPr>
            </w:pPr>
          </w:p>
        </w:tc>
        <w:tc>
          <w:tcPr>
            <w:tcW w:w="142" w:type="dxa"/>
            <w:tcBorders>
              <w:top w:val="nil"/>
              <w:left w:val="nil"/>
              <w:bottom w:val="nil"/>
              <w:right w:val="nil"/>
            </w:tcBorders>
            <w:shd w:val="clear" w:color="auto" w:fill="auto"/>
            <w:noWrap/>
            <w:vAlign w:val="bottom"/>
            <w:hideMark/>
          </w:tcPr>
          <w:p w:rsidR="004F1785" w:rsidRPr="004F1785" w:rsidRDefault="004F1785" w:rsidP="004F1785">
            <w:pPr>
              <w:spacing w:after="0"/>
              <w:rPr>
                <w:rFonts w:ascii="Calibri" w:eastAsia="Times New Roman" w:hAnsi="Calibri" w:cs="Calibri"/>
                <w:color w:val="000000"/>
                <w:sz w:val="22"/>
                <w:szCs w:val="22"/>
                <w:lang w:bidi="hi-IN"/>
              </w:rPr>
            </w:pPr>
          </w:p>
        </w:tc>
        <w:tc>
          <w:tcPr>
            <w:tcW w:w="142" w:type="dxa"/>
            <w:tcBorders>
              <w:top w:val="nil"/>
              <w:left w:val="nil"/>
              <w:bottom w:val="nil"/>
              <w:right w:val="nil"/>
            </w:tcBorders>
            <w:shd w:val="clear" w:color="auto" w:fill="auto"/>
            <w:noWrap/>
            <w:vAlign w:val="bottom"/>
            <w:hideMark/>
          </w:tcPr>
          <w:p w:rsidR="004F1785" w:rsidRPr="004F1785" w:rsidRDefault="004F1785" w:rsidP="004F1785">
            <w:pPr>
              <w:spacing w:after="0"/>
              <w:rPr>
                <w:rFonts w:ascii="Calibri" w:eastAsia="Times New Roman" w:hAnsi="Calibri" w:cs="Calibri"/>
                <w:color w:val="000000"/>
                <w:sz w:val="22"/>
                <w:szCs w:val="22"/>
                <w:lang w:bidi="hi-IN"/>
              </w:rPr>
            </w:pPr>
          </w:p>
        </w:tc>
        <w:tc>
          <w:tcPr>
            <w:tcW w:w="142" w:type="dxa"/>
            <w:tcBorders>
              <w:top w:val="nil"/>
              <w:left w:val="nil"/>
              <w:bottom w:val="nil"/>
              <w:right w:val="nil"/>
            </w:tcBorders>
            <w:shd w:val="clear" w:color="auto" w:fill="auto"/>
            <w:noWrap/>
            <w:vAlign w:val="bottom"/>
            <w:hideMark/>
          </w:tcPr>
          <w:p w:rsidR="004F1785" w:rsidRPr="004F1785" w:rsidRDefault="004F1785" w:rsidP="004F1785">
            <w:pPr>
              <w:spacing w:after="0"/>
              <w:rPr>
                <w:rFonts w:ascii="Calibri" w:eastAsia="Times New Roman" w:hAnsi="Calibri" w:cs="Calibri"/>
                <w:color w:val="000000"/>
                <w:sz w:val="22"/>
                <w:szCs w:val="22"/>
                <w:lang w:bidi="hi-IN"/>
              </w:rPr>
            </w:pPr>
          </w:p>
        </w:tc>
        <w:tc>
          <w:tcPr>
            <w:tcW w:w="142" w:type="dxa"/>
            <w:tcBorders>
              <w:top w:val="nil"/>
              <w:left w:val="nil"/>
              <w:bottom w:val="nil"/>
              <w:right w:val="nil"/>
            </w:tcBorders>
            <w:shd w:val="clear" w:color="auto" w:fill="auto"/>
            <w:noWrap/>
            <w:vAlign w:val="bottom"/>
            <w:hideMark/>
          </w:tcPr>
          <w:p w:rsidR="004F1785" w:rsidRPr="004F1785" w:rsidRDefault="004F1785" w:rsidP="004F1785">
            <w:pPr>
              <w:spacing w:after="0"/>
              <w:rPr>
                <w:rFonts w:ascii="Calibri" w:eastAsia="Times New Roman" w:hAnsi="Calibri" w:cs="Calibri"/>
                <w:color w:val="000000"/>
                <w:sz w:val="22"/>
                <w:szCs w:val="22"/>
                <w:lang w:bidi="hi-IN"/>
              </w:rPr>
            </w:pPr>
          </w:p>
        </w:tc>
      </w:tr>
    </w:tbl>
    <w:p w:rsidR="004F1785" w:rsidRPr="004F1785" w:rsidRDefault="004F1785" w:rsidP="004F1785">
      <w:pPr>
        <w:pStyle w:val="BodyText"/>
      </w:pPr>
    </w:p>
    <w:p w:rsidR="00C67A35" w:rsidRDefault="00C67A35" w:rsidP="00C67A35">
      <w:pPr>
        <w:pStyle w:val="Heading2"/>
      </w:pPr>
      <w:r>
        <w:rPr>
          <w:rStyle w:val="Strong"/>
          <w:b w:val="0"/>
          <w:bCs w:val="0"/>
        </w:rPr>
        <w:t>Practice Areas &amp; Services</w:t>
      </w:r>
    </w:p>
    <w:p w:rsidR="00C67A35" w:rsidRDefault="00C67A35" w:rsidP="00C67A35">
      <w:pPr>
        <w:pStyle w:val="Heading3"/>
      </w:pPr>
      <w:r>
        <w:rPr>
          <w:rStyle w:val="Strong"/>
          <w:b w:val="0"/>
          <w:bCs w:val="0"/>
        </w:rPr>
        <w:t>Civil, Criminal &amp; Constitutional Law</w:t>
      </w:r>
    </w:p>
    <w:p w:rsidR="00C67A35" w:rsidRDefault="00C67A35" w:rsidP="00E90F5F">
      <w:pPr>
        <w:pStyle w:val="NormalWeb"/>
        <w:numPr>
          <w:ilvl w:val="0"/>
          <w:numId w:val="3"/>
        </w:numPr>
      </w:pPr>
      <w:r>
        <w:t>Civil and criminal litigation before Trial Courts, Appellate Courts, and High Courts</w:t>
      </w:r>
    </w:p>
    <w:p w:rsidR="00C67A35" w:rsidRDefault="00C67A35" w:rsidP="00E90F5F">
      <w:pPr>
        <w:pStyle w:val="NormalWeb"/>
        <w:numPr>
          <w:ilvl w:val="0"/>
          <w:numId w:val="3"/>
        </w:numPr>
      </w:pPr>
      <w:r>
        <w:t>Writ petitions and constitutional remedies</w:t>
      </w:r>
    </w:p>
    <w:p w:rsidR="00C67A35" w:rsidRDefault="00C67A35" w:rsidP="00E90F5F">
      <w:pPr>
        <w:pStyle w:val="NormalWeb"/>
        <w:numPr>
          <w:ilvl w:val="0"/>
          <w:numId w:val="3"/>
        </w:numPr>
      </w:pPr>
      <w:r>
        <w:t>Bail, quashing, revision, and appellate proceedings</w:t>
      </w:r>
    </w:p>
    <w:p w:rsidR="00C67A35" w:rsidRDefault="00C67A35" w:rsidP="00C67A35">
      <w:r>
        <w:pict>
          <v:rect id="_x0000_i1030" style="width:0;height:1.5pt" o:hralign="center" o:hrstd="t" o:hr="t" fillcolor="#a0a0a0" stroked="f"/>
        </w:pict>
      </w:r>
    </w:p>
    <w:p w:rsidR="00C67A35" w:rsidRDefault="00C67A35" w:rsidP="00C67A35">
      <w:pPr>
        <w:pStyle w:val="Heading3"/>
      </w:pPr>
      <w:r>
        <w:rPr>
          <w:rStyle w:val="Strong"/>
          <w:b w:val="0"/>
          <w:bCs w:val="0"/>
        </w:rPr>
        <w:lastRenderedPageBreak/>
        <w:t>Election Law &amp; Representation</w:t>
      </w:r>
    </w:p>
    <w:p w:rsidR="00C67A35" w:rsidRDefault="00C67A35" w:rsidP="00E90F5F">
      <w:pPr>
        <w:pStyle w:val="NormalWeb"/>
        <w:numPr>
          <w:ilvl w:val="0"/>
          <w:numId w:val="4"/>
        </w:numPr>
      </w:pPr>
      <w:r>
        <w:t>Filing and defending election petitions</w:t>
      </w:r>
    </w:p>
    <w:p w:rsidR="00C67A35" w:rsidRDefault="00C67A35" w:rsidP="00E90F5F">
      <w:pPr>
        <w:pStyle w:val="NormalWeb"/>
        <w:numPr>
          <w:ilvl w:val="0"/>
          <w:numId w:val="4"/>
        </w:numPr>
      </w:pPr>
      <w:r>
        <w:t>Disqualification proceedings and corrupt practice matters</w:t>
      </w:r>
    </w:p>
    <w:p w:rsidR="00C67A35" w:rsidRDefault="00C67A35" w:rsidP="00E90F5F">
      <w:pPr>
        <w:pStyle w:val="NormalWeb"/>
        <w:numPr>
          <w:ilvl w:val="0"/>
          <w:numId w:val="4"/>
        </w:numPr>
      </w:pPr>
      <w:r>
        <w:t>Advisory on election laws, statutory procedures, and compliance</w:t>
      </w:r>
    </w:p>
    <w:p w:rsidR="00C67A35" w:rsidRDefault="00C67A35" w:rsidP="00E90F5F">
      <w:pPr>
        <w:pStyle w:val="NormalWeb"/>
        <w:numPr>
          <w:ilvl w:val="0"/>
          <w:numId w:val="4"/>
        </w:numPr>
      </w:pPr>
      <w:r>
        <w:t>Representation before Election Tribunals and Courts</w:t>
      </w:r>
    </w:p>
    <w:p w:rsidR="00C67A35" w:rsidRDefault="00C67A35" w:rsidP="00C67A35">
      <w:r>
        <w:pict>
          <v:rect id="_x0000_i1031" style="width:0;height:1.5pt" o:hralign="center" o:hrstd="t" o:hr="t" fillcolor="#a0a0a0" stroked="f"/>
        </w:pict>
      </w:r>
    </w:p>
    <w:p w:rsidR="00C67A35" w:rsidRDefault="00C67A35" w:rsidP="00C67A35">
      <w:pPr>
        <w:pStyle w:val="Heading3"/>
      </w:pPr>
      <w:r>
        <w:rPr>
          <w:rStyle w:val="Strong"/>
          <w:b w:val="0"/>
          <w:bCs w:val="0"/>
        </w:rPr>
        <w:t>Service &amp; Employment Law</w:t>
      </w:r>
    </w:p>
    <w:p w:rsidR="00C67A35" w:rsidRDefault="00C67A35" w:rsidP="00E90F5F">
      <w:pPr>
        <w:pStyle w:val="NormalWeb"/>
        <w:numPr>
          <w:ilvl w:val="0"/>
          <w:numId w:val="5"/>
        </w:numPr>
      </w:pPr>
      <w:r>
        <w:t>Service disputes of Government and Public Sector employees</w:t>
      </w:r>
    </w:p>
    <w:p w:rsidR="00C67A35" w:rsidRDefault="00C67A35" w:rsidP="00E90F5F">
      <w:pPr>
        <w:pStyle w:val="NormalWeb"/>
        <w:numPr>
          <w:ilvl w:val="0"/>
          <w:numId w:val="5"/>
        </w:numPr>
      </w:pPr>
      <w:r>
        <w:t>Disciplinary proceedings and departmental inquiries</w:t>
      </w:r>
    </w:p>
    <w:p w:rsidR="00C67A35" w:rsidRDefault="00C67A35" w:rsidP="00E90F5F">
      <w:pPr>
        <w:pStyle w:val="NormalWeb"/>
        <w:numPr>
          <w:ilvl w:val="0"/>
          <w:numId w:val="5"/>
        </w:numPr>
      </w:pPr>
      <w:r>
        <w:t xml:space="preserve">Promotion, seniority, pension, and </w:t>
      </w:r>
      <w:proofErr w:type="spellStart"/>
      <w:r>
        <w:t>retiral</w:t>
      </w:r>
      <w:proofErr w:type="spellEnd"/>
      <w:r>
        <w:t xml:space="preserve"> benefit matters</w:t>
      </w:r>
    </w:p>
    <w:p w:rsidR="00C67A35" w:rsidRDefault="00C67A35" w:rsidP="00C67A35">
      <w:r>
        <w:pict>
          <v:rect id="_x0000_i1032" style="width:0;height:1.5pt" o:hralign="center" o:hrstd="t" o:hr="t" fillcolor="#a0a0a0" stroked="f"/>
        </w:pict>
      </w:r>
    </w:p>
    <w:p w:rsidR="00C67A35" w:rsidRDefault="00C67A35" w:rsidP="00C67A35">
      <w:pPr>
        <w:pStyle w:val="Heading3"/>
      </w:pPr>
      <w:r>
        <w:rPr>
          <w:rStyle w:val="Strong"/>
          <w:b w:val="0"/>
          <w:bCs w:val="0"/>
        </w:rPr>
        <w:t>Banking, Insurance &amp; Financial Disputes</w:t>
      </w:r>
    </w:p>
    <w:p w:rsidR="00C67A35" w:rsidRDefault="00C67A35" w:rsidP="00E90F5F">
      <w:pPr>
        <w:pStyle w:val="NormalWeb"/>
        <w:numPr>
          <w:ilvl w:val="0"/>
          <w:numId w:val="6"/>
        </w:numPr>
      </w:pPr>
      <w:r>
        <w:t>Recovery proceedings and financial litigation</w:t>
      </w:r>
    </w:p>
    <w:p w:rsidR="00C67A35" w:rsidRDefault="00C67A35" w:rsidP="00E90F5F">
      <w:pPr>
        <w:pStyle w:val="NormalWeb"/>
        <w:numPr>
          <w:ilvl w:val="0"/>
          <w:numId w:val="6"/>
        </w:numPr>
      </w:pPr>
      <w:r>
        <w:t>Insurance claim disputes and policy interpretation</w:t>
      </w:r>
    </w:p>
    <w:p w:rsidR="00C67A35" w:rsidRDefault="00C67A35" w:rsidP="00E90F5F">
      <w:pPr>
        <w:pStyle w:val="NormalWeb"/>
        <w:numPr>
          <w:ilvl w:val="0"/>
          <w:numId w:val="6"/>
        </w:numPr>
      </w:pPr>
      <w:r>
        <w:t>Advisory on banking laws and financial regulations</w:t>
      </w:r>
    </w:p>
    <w:p w:rsidR="00C67A35" w:rsidRDefault="00C67A35" w:rsidP="00C67A35">
      <w:r>
        <w:pict>
          <v:rect id="_x0000_i1033" style="width:0;height:1.5pt" o:hralign="center" o:hrstd="t" o:hr="t" fillcolor="#a0a0a0" stroked="f"/>
        </w:pict>
      </w:r>
    </w:p>
    <w:p w:rsidR="00C67A35" w:rsidRDefault="00C67A35" w:rsidP="00C67A35">
      <w:pPr>
        <w:pStyle w:val="Heading3"/>
      </w:pPr>
      <w:r>
        <w:rPr>
          <w:rStyle w:val="Strong"/>
          <w:b w:val="0"/>
          <w:bCs w:val="0"/>
        </w:rPr>
        <w:t>Commercial Litigation &amp; Arbitration</w:t>
      </w:r>
    </w:p>
    <w:p w:rsidR="00C67A35" w:rsidRDefault="00C67A35" w:rsidP="00E90F5F">
      <w:pPr>
        <w:pStyle w:val="NormalWeb"/>
        <w:numPr>
          <w:ilvl w:val="0"/>
          <w:numId w:val="7"/>
        </w:numPr>
      </w:pPr>
      <w:r>
        <w:t>Commercial and contractual disputes</w:t>
      </w:r>
    </w:p>
    <w:p w:rsidR="00C67A35" w:rsidRDefault="00C67A35" w:rsidP="00E90F5F">
      <w:pPr>
        <w:pStyle w:val="NormalWeb"/>
        <w:numPr>
          <w:ilvl w:val="0"/>
          <w:numId w:val="7"/>
        </w:numPr>
      </w:pPr>
      <w:r>
        <w:t>Domestic arbitration proceedings</w:t>
      </w:r>
    </w:p>
    <w:p w:rsidR="00C67A35" w:rsidRDefault="00C67A35" w:rsidP="00E90F5F">
      <w:pPr>
        <w:pStyle w:val="NormalWeb"/>
        <w:numPr>
          <w:ilvl w:val="0"/>
          <w:numId w:val="7"/>
        </w:numPr>
      </w:pPr>
      <w:r>
        <w:t>Enforcement and challenge of arbitral awards</w:t>
      </w:r>
    </w:p>
    <w:p w:rsidR="00C67A35" w:rsidRDefault="00C67A35" w:rsidP="00E90F5F">
      <w:pPr>
        <w:pStyle w:val="NormalWeb"/>
        <w:numPr>
          <w:ilvl w:val="0"/>
          <w:numId w:val="7"/>
        </w:numPr>
      </w:pPr>
      <w:r>
        <w:t>Litigation, arbitration, and mediation support</w:t>
      </w:r>
    </w:p>
    <w:p w:rsidR="00C67A35" w:rsidRDefault="00C67A35" w:rsidP="00C67A35">
      <w:r>
        <w:pict>
          <v:rect id="_x0000_i1034" style="width:0;height:1.5pt" o:hralign="center" o:hrstd="t" o:hr="t" fillcolor="#a0a0a0" stroked="f"/>
        </w:pict>
      </w:r>
    </w:p>
    <w:p w:rsidR="00C67A35" w:rsidRDefault="00C67A35" w:rsidP="00C67A35">
      <w:pPr>
        <w:pStyle w:val="Heading3"/>
      </w:pPr>
      <w:r>
        <w:rPr>
          <w:rStyle w:val="Strong"/>
          <w:b w:val="0"/>
          <w:bCs w:val="0"/>
        </w:rPr>
        <w:t>Corporate &amp; Business Laws</w:t>
      </w:r>
    </w:p>
    <w:p w:rsidR="00C67A35" w:rsidRDefault="00C67A35" w:rsidP="00E90F5F">
      <w:pPr>
        <w:pStyle w:val="NormalWeb"/>
        <w:numPr>
          <w:ilvl w:val="0"/>
          <w:numId w:val="8"/>
        </w:numPr>
      </w:pPr>
      <w:r>
        <w:t>Corporate advisory and regulatory compliance</w:t>
      </w:r>
    </w:p>
    <w:p w:rsidR="00C67A35" w:rsidRDefault="00C67A35" w:rsidP="00E90F5F">
      <w:pPr>
        <w:pStyle w:val="NormalWeb"/>
        <w:numPr>
          <w:ilvl w:val="0"/>
          <w:numId w:val="8"/>
        </w:numPr>
      </w:pPr>
      <w:r>
        <w:t>Business structuring and legal risk management</w:t>
      </w:r>
    </w:p>
    <w:p w:rsidR="00C67A35" w:rsidRDefault="00C67A35" w:rsidP="00E90F5F">
      <w:pPr>
        <w:pStyle w:val="NormalWeb"/>
        <w:numPr>
          <w:ilvl w:val="0"/>
          <w:numId w:val="8"/>
        </w:numPr>
      </w:pPr>
      <w:r>
        <w:t>Commercial documentation and transactional advisory</w:t>
      </w:r>
    </w:p>
    <w:p w:rsidR="00C67A35" w:rsidRDefault="00C67A35" w:rsidP="00C67A35">
      <w:r>
        <w:pict>
          <v:rect id="_x0000_i1035" style="width:0;height:1.5pt" o:hralign="center" o:hrstd="t" o:hr="t" fillcolor="#a0a0a0" stroked="f"/>
        </w:pict>
      </w:r>
    </w:p>
    <w:p w:rsidR="00C67A35" w:rsidRDefault="00C67A35" w:rsidP="00C67A35">
      <w:pPr>
        <w:pStyle w:val="Heading3"/>
      </w:pPr>
      <w:proofErr w:type="spellStart"/>
      <w:r>
        <w:rPr>
          <w:rStyle w:val="Strong"/>
          <w:b w:val="0"/>
          <w:bCs w:val="0"/>
        </w:rPr>
        <w:t>Labour</w:t>
      </w:r>
      <w:proofErr w:type="spellEnd"/>
      <w:r>
        <w:rPr>
          <w:rStyle w:val="Strong"/>
          <w:b w:val="0"/>
          <w:bCs w:val="0"/>
        </w:rPr>
        <w:t>, Industrial &amp; Employment Relations</w:t>
      </w:r>
    </w:p>
    <w:p w:rsidR="00C67A35" w:rsidRDefault="00C67A35" w:rsidP="00E90F5F">
      <w:pPr>
        <w:pStyle w:val="NormalWeb"/>
        <w:numPr>
          <w:ilvl w:val="0"/>
          <w:numId w:val="9"/>
        </w:numPr>
      </w:pPr>
      <w:r>
        <w:t xml:space="preserve">Industrial disputes and </w:t>
      </w:r>
      <w:proofErr w:type="spellStart"/>
      <w:r>
        <w:t>labour</w:t>
      </w:r>
      <w:proofErr w:type="spellEnd"/>
      <w:r>
        <w:t xml:space="preserve"> litigation</w:t>
      </w:r>
    </w:p>
    <w:p w:rsidR="00C67A35" w:rsidRDefault="00C67A35" w:rsidP="00E90F5F">
      <w:pPr>
        <w:pStyle w:val="NormalWeb"/>
        <w:numPr>
          <w:ilvl w:val="0"/>
          <w:numId w:val="9"/>
        </w:numPr>
      </w:pPr>
      <w:r>
        <w:t xml:space="preserve">Advisory on </w:t>
      </w:r>
      <w:proofErr w:type="spellStart"/>
      <w:r>
        <w:t>labour</w:t>
      </w:r>
      <w:proofErr w:type="spellEnd"/>
      <w:r>
        <w:t xml:space="preserve"> and employment law compliance</w:t>
      </w:r>
    </w:p>
    <w:p w:rsidR="00C67A35" w:rsidRDefault="00C67A35" w:rsidP="00E90F5F">
      <w:pPr>
        <w:pStyle w:val="NormalWeb"/>
        <w:numPr>
          <w:ilvl w:val="0"/>
          <w:numId w:val="9"/>
        </w:numPr>
      </w:pPr>
      <w:r>
        <w:t xml:space="preserve">Representation before </w:t>
      </w:r>
      <w:proofErr w:type="spellStart"/>
      <w:r>
        <w:t>Labour</w:t>
      </w:r>
      <w:proofErr w:type="spellEnd"/>
      <w:r>
        <w:t xml:space="preserve"> Courts and Industrial Tribunals</w:t>
      </w:r>
    </w:p>
    <w:p w:rsidR="00C67A35" w:rsidRDefault="00C67A35" w:rsidP="00C67A35">
      <w:r>
        <w:lastRenderedPageBreak/>
        <w:pict>
          <v:rect id="_x0000_i1036" style="width:0;height:1.5pt" o:hralign="center" o:hrstd="t" o:hr="t" fillcolor="#a0a0a0" stroked="f"/>
        </w:pict>
      </w:r>
    </w:p>
    <w:p w:rsidR="00C67A35" w:rsidRDefault="00C67A35" w:rsidP="00C67A35">
      <w:pPr>
        <w:pStyle w:val="Heading3"/>
      </w:pPr>
      <w:r>
        <w:rPr>
          <w:rStyle w:val="Strong"/>
          <w:b w:val="0"/>
          <w:bCs w:val="0"/>
        </w:rPr>
        <w:t>Contract Drafting &amp; Agreements</w:t>
      </w:r>
    </w:p>
    <w:p w:rsidR="00C67A35" w:rsidRDefault="00C67A35" w:rsidP="00E90F5F">
      <w:pPr>
        <w:pStyle w:val="NormalWeb"/>
        <w:numPr>
          <w:ilvl w:val="0"/>
          <w:numId w:val="10"/>
        </w:numPr>
      </w:pPr>
      <w:r>
        <w:t>Commercial contracts and business agreements</w:t>
      </w:r>
    </w:p>
    <w:p w:rsidR="00C67A35" w:rsidRDefault="00C67A35" w:rsidP="00E90F5F">
      <w:pPr>
        <w:pStyle w:val="NormalWeb"/>
        <w:numPr>
          <w:ilvl w:val="0"/>
          <w:numId w:val="10"/>
        </w:numPr>
      </w:pPr>
      <w:r>
        <w:t>Franchise, licensing, and distributorship agreements</w:t>
      </w:r>
    </w:p>
    <w:p w:rsidR="00C67A35" w:rsidRDefault="00C67A35" w:rsidP="00E90F5F">
      <w:pPr>
        <w:pStyle w:val="NormalWeb"/>
        <w:numPr>
          <w:ilvl w:val="0"/>
          <w:numId w:val="10"/>
        </w:numPr>
      </w:pPr>
      <w:r>
        <w:t>Vetting, negotiation, and risk assessment</w:t>
      </w:r>
    </w:p>
    <w:p w:rsidR="00C67A35" w:rsidRDefault="00C67A35" w:rsidP="00C67A35">
      <w:r>
        <w:pict>
          <v:rect id="_x0000_i1037" style="width:0;height:1.5pt" o:hralign="center" o:hrstd="t" o:hr="t" fillcolor="#a0a0a0" stroked="f"/>
        </w:pict>
      </w:r>
    </w:p>
    <w:p w:rsidR="00C67A35" w:rsidRDefault="00C67A35" w:rsidP="00C67A35">
      <w:pPr>
        <w:pStyle w:val="Heading3"/>
      </w:pPr>
      <w:r>
        <w:rPr>
          <w:rStyle w:val="Strong"/>
          <w:b w:val="0"/>
          <w:bCs w:val="0"/>
        </w:rPr>
        <w:t>Real Estate, Infrastructure &amp; Project Disputes</w:t>
      </w:r>
    </w:p>
    <w:p w:rsidR="00C67A35" w:rsidRDefault="00C67A35" w:rsidP="00E90F5F">
      <w:pPr>
        <w:pStyle w:val="NormalWeb"/>
        <w:numPr>
          <w:ilvl w:val="0"/>
          <w:numId w:val="11"/>
        </w:numPr>
      </w:pPr>
      <w:r>
        <w:t>Property title disputes, partition suits, and boundary issues</w:t>
      </w:r>
    </w:p>
    <w:p w:rsidR="00C67A35" w:rsidRDefault="00C67A35" w:rsidP="00E90F5F">
      <w:pPr>
        <w:pStyle w:val="NormalWeb"/>
        <w:numPr>
          <w:ilvl w:val="0"/>
          <w:numId w:val="11"/>
        </w:numPr>
      </w:pPr>
      <w:r>
        <w:t>Infrastructure and project-related litigation</w:t>
      </w:r>
    </w:p>
    <w:p w:rsidR="00C67A35" w:rsidRDefault="00C67A35" w:rsidP="00E90F5F">
      <w:pPr>
        <w:pStyle w:val="NormalWeb"/>
        <w:numPr>
          <w:ilvl w:val="0"/>
          <w:numId w:val="11"/>
        </w:numPr>
      </w:pPr>
      <w:r>
        <w:t>Property due diligence and real estate documentation</w:t>
      </w:r>
    </w:p>
    <w:p w:rsidR="00C67A35" w:rsidRDefault="00C67A35" w:rsidP="00C67A35">
      <w:r>
        <w:pict>
          <v:rect id="_x0000_i1038" style="width:0;height:1.5pt" o:hralign="center" o:hrstd="t" o:hr="t" fillcolor="#a0a0a0" stroked="f"/>
        </w:pict>
      </w:r>
    </w:p>
    <w:p w:rsidR="00C67A35" w:rsidRDefault="00C67A35" w:rsidP="00C67A35">
      <w:pPr>
        <w:pStyle w:val="Heading3"/>
      </w:pPr>
      <w:r>
        <w:rPr>
          <w:rStyle w:val="Strong"/>
          <w:b w:val="0"/>
          <w:bCs w:val="0"/>
        </w:rPr>
        <w:t>RERA Matters</w:t>
      </w:r>
    </w:p>
    <w:p w:rsidR="00C67A35" w:rsidRDefault="00C67A35" w:rsidP="00E90F5F">
      <w:pPr>
        <w:pStyle w:val="NormalWeb"/>
        <w:numPr>
          <w:ilvl w:val="0"/>
          <w:numId w:val="12"/>
        </w:numPr>
      </w:pPr>
      <w:r>
        <w:t>RERA complaints and appellate proceedings</w:t>
      </w:r>
    </w:p>
    <w:p w:rsidR="00C67A35" w:rsidRDefault="00C67A35" w:rsidP="00E90F5F">
      <w:pPr>
        <w:pStyle w:val="NormalWeb"/>
        <w:numPr>
          <w:ilvl w:val="0"/>
          <w:numId w:val="12"/>
        </w:numPr>
      </w:pPr>
      <w:r>
        <w:t>Builder–buyer disputes</w:t>
      </w:r>
    </w:p>
    <w:p w:rsidR="00C67A35" w:rsidRDefault="00C67A35" w:rsidP="00E90F5F">
      <w:pPr>
        <w:pStyle w:val="NormalWeb"/>
        <w:numPr>
          <w:ilvl w:val="0"/>
          <w:numId w:val="12"/>
        </w:numPr>
      </w:pPr>
      <w:r>
        <w:t>Regulatory compliance for promoters and developers</w:t>
      </w:r>
    </w:p>
    <w:p w:rsidR="00C67A35" w:rsidRDefault="00C67A35" w:rsidP="00C67A35">
      <w:r>
        <w:pict>
          <v:rect id="_x0000_i1039" style="width:0;height:1.5pt" o:hralign="center" o:hrstd="t" o:hr="t" fillcolor="#a0a0a0" stroked="f"/>
        </w:pict>
      </w:r>
    </w:p>
    <w:p w:rsidR="00C67A35" w:rsidRDefault="00C67A35" w:rsidP="00C67A35">
      <w:pPr>
        <w:pStyle w:val="Heading3"/>
      </w:pPr>
      <w:r>
        <w:rPr>
          <w:rStyle w:val="Strong"/>
          <w:b w:val="0"/>
          <w:bCs w:val="0"/>
        </w:rPr>
        <w:t>Insolvency, Bankruptcy &amp; Taxation</w:t>
      </w:r>
    </w:p>
    <w:p w:rsidR="00C67A35" w:rsidRDefault="00C67A35" w:rsidP="00E90F5F">
      <w:pPr>
        <w:pStyle w:val="NormalWeb"/>
        <w:numPr>
          <w:ilvl w:val="0"/>
          <w:numId w:val="13"/>
        </w:numPr>
      </w:pPr>
      <w:r>
        <w:t>Advisory and litigation under IBC</w:t>
      </w:r>
    </w:p>
    <w:p w:rsidR="00C67A35" w:rsidRDefault="00C67A35" w:rsidP="00E90F5F">
      <w:pPr>
        <w:pStyle w:val="NormalWeb"/>
        <w:numPr>
          <w:ilvl w:val="0"/>
          <w:numId w:val="13"/>
        </w:numPr>
      </w:pPr>
      <w:r>
        <w:t>Representation in insolvency-related disputes</w:t>
      </w:r>
    </w:p>
    <w:p w:rsidR="00C67A35" w:rsidRDefault="00C67A35" w:rsidP="00E90F5F">
      <w:pPr>
        <w:pStyle w:val="NormalWeb"/>
        <w:numPr>
          <w:ilvl w:val="0"/>
          <w:numId w:val="13"/>
        </w:numPr>
      </w:pPr>
      <w:r>
        <w:t>Tax advisory and dispute resolution</w:t>
      </w:r>
    </w:p>
    <w:p w:rsidR="00C67A35" w:rsidRDefault="00C67A35" w:rsidP="00C67A35">
      <w:r>
        <w:pict>
          <v:rect id="_x0000_i1040" style="width:0;height:1.5pt" o:hralign="center" o:hrstd="t" o:hr="t" fillcolor="#a0a0a0" stroked="f"/>
        </w:pict>
      </w:r>
    </w:p>
    <w:p w:rsidR="00C67A35" w:rsidRDefault="00C67A35" w:rsidP="00C67A35">
      <w:pPr>
        <w:pStyle w:val="Heading3"/>
      </w:pPr>
      <w:r>
        <w:rPr>
          <w:rStyle w:val="Strong"/>
          <w:b w:val="0"/>
          <w:bCs w:val="0"/>
        </w:rPr>
        <w:t>Intellectual Property Rights (IPR)</w:t>
      </w:r>
    </w:p>
    <w:p w:rsidR="00C67A35" w:rsidRDefault="00C67A35" w:rsidP="00E90F5F">
      <w:pPr>
        <w:pStyle w:val="NormalWeb"/>
        <w:numPr>
          <w:ilvl w:val="0"/>
          <w:numId w:val="14"/>
        </w:numPr>
      </w:pPr>
      <w:r>
        <w:t>Trademark, patent, and copyright registration</w:t>
      </w:r>
    </w:p>
    <w:p w:rsidR="00C67A35" w:rsidRDefault="00C67A35" w:rsidP="00E90F5F">
      <w:pPr>
        <w:pStyle w:val="NormalWeb"/>
        <w:numPr>
          <w:ilvl w:val="0"/>
          <w:numId w:val="14"/>
        </w:numPr>
      </w:pPr>
      <w:r>
        <w:t>Infringement actions and enforcement</w:t>
      </w:r>
    </w:p>
    <w:p w:rsidR="00C67A35" w:rsidRDefault="00C67A35" w:rsidP="00E90F5F">
      <w:pPr>
        <w:pStyle w:val="NormalWeb"/>
        <w:numPr>
          <w:ilvl w:val="0"/>
          <w:numId w:val="14"/>
        </w:numPr>
      </w:pPr>
      <w:r>
        <w:t>IP advisory and portfolio management</w:t>
      </w:r>
    </w:p>
    <w:p w:rsidR="00C67A35" w:rsidRDefault="00C67A35" w:rsidP="00C67A35">
      <w:r>
        <w:pict>
          <v:rect id="_x0000_i1041" style="width:0;height:1.5pt" o:hralign="center" o:hrstd="t" o:hr="t" fillcolor="#a0a0a0" stroked="f"/>
        </w:pict>
      </w:r>
    </w:p>
    <w:p w:rsidR="00C67A35" w:rsidRDefault="00C67A35" w:rsidP="00C67A35">
      <w:pPr>
        <w:pStyle w:val="Heading3"/>
      </w:pPr>
      <w:r>
        <w:rPr>
          <w:rStyle w:val="Strong"/>
          <w:b w:val="0"/>
          <w:bCs w:val="0"/>
        </w:rPr>
        <w:t>Education &amp; Environmental Laws</w:t>
      </w:r>
    </w:p>
    <w:p w:rsidR="00C67A35" w:rsidRDefault="00C67A35" w:rsidP="00E90F5F">
      <w:pPr>
        <w:pStyle w:val="NormalWeb"/>
        <w:numPr>
          <w:ilvl w:val="0"/>
          <w:numId w:val="15"/>
        </w:numPr>
      </w:pPr>
      <w:r>
        <w:t>Advisory and litigation under education laws</w:t>
      </w:r>
    </w:p>
    <w:p w:rsidR="00C67A35" w:rsidRDefault="00C67A35" w:rsidP="00E90F5F">
      <w:pPr>
        <w:pStyle w:val="NormalWeb"/>
        <w:numPr>
          <w:ilvl w:val="0"/>
          <w:numId w:val="15"/>
        </w:numPr>
      </w:pPr>
      <w:r>
        <w:t>Environmental compliance and regulatory matters</w:t>
      </w:r>
    </w:p>
    <w:p w:rsidR="00C67A35" w:rsidRDefault="00C67A35" w:rsidP="00C67A35">
      <w:r>
        <w:lastRenderedPageBreak/>
        <w:pict>
          <v:rect id="_x0000_i1042" style="width:0;height:1.5pt" o:hralign="center" o:hrstd="t" o:hr="t" fillcolor="#a0a0a0" stroked="f"/>
        </w:pict>
      </w:r>
    </w:p>
    <w:p w:rsidR="00C67A35" w:rsidRDefault="00C67A35" w:rsidP="00C67A35">
      <w:pPr>
        <w:pStyle w:val="Heading3"/>
      </w:pPr>
      <w:r>
        <w:rPr>
          <w:rStyle w:val="Strong"/>
          <w:b w:val="0"/>
          <w:bCs w:val="0"/>
        </w:rPr>
        <w:t>Startups &amp; Emerging Businesses</w:t>
      </w:r>
    </w:p>
    <w:p w:rsidR="00C67A35" w:rsidRDefault="00C67A35" w:rsidP="00E90F5F">
      <w:pPr>
        <w:pStyle w:val="NormalWeb"/>
        <w:numPr>
          <w:ilvl w:val="0"/>
          <w:numId w:val="16"/>
        </w:numPr>
      </w:pPr>
      <w:r>
        <w:t>Legal structuring and incorporation</w:t>
      </w:r>
    </w:p>
    <w:p w:rsidR="00C67A35" w:rsidRDefault="00C67A35" w:rsidP="00E90F5F">
      <w:pPr>
        <w:pStyle w:val="NormalWeb"/>
        <w:numPr>
          <w:ilvl w:val="0"/>
          <w:numId w:val="16"/>
        </w:numPr>
      </w:pPr>
      <w:r>
        <w:t>Compliance, contracts, and investment documentation</w:t>
      </w:r>
    </w:p>
    <w:p w:rsidR="00C67A35" w:rsidRDefault="00C67A35" w:rsidP="00E90F5F">
      <w:pPr>
        <w:pStyle w:val="NormalWeb"/>
        <w:numPr>
          <w:ilvl w:val="0"/>
          <w:numId w:val="16"/>
        </w:numPr>
      </w:pPr>
      <w:r>
        <w:t>Ongoing legal advisory for startups</w:t>
      </w:r>
    </w:p>
    <w:p w:rsidR="00C67A35" w:rsidRDefault="00C67A35" w:rsidP="00C67A35">
      <w:r>
        <w:pict>
          <v:rect id="_x0000_i1043" style="width:0;height:1.5pt" o:hralign="center" o:hrstd="t" o:hr="t" fillcolor="#a0a0a0" stroked="f"/>
        </w:pict>
      </w:r>
    </w:p>
    <w:p w:rsidR="00C67A35" w:rsidRDefault="00C67A35" w:rsidP="00C67A35">
      <w:pPr>
        <w:pStyle w:val="Heading3"/>
      </w:pPr>
      <w:r>
        <w:rPr>
          <w:rStyle w:val="Strong"/>
          <w:b w:val="0"/>
          <w:bCs w:val="0"/>
        </w:rPr>
        <w:t>EPF &amp; Social Security Laws</w:t>
      </w:r>
    </w:p>
    <w:p w:rsidR="00C67A35" w:rsidRDefault="00C67A35" w:rsidP="00E90F5F">
      <w:pPr>
        <w:pStyle w:val="NormalWeb"/>
        <w:numPr>
          <w:ilvl w:val="0"/>
          <w:numId w:val="17"/>
        </w:numPr>
      </w:pPr>
      <w:r>
        <w:t>Proceedings before EPFO authorities and appellate tribunals</w:t>
      </w:r>
    </w:p>
    <w:p w:rsidR="00C67A35" w:rsidRDefault="00C67A35" w:rsidP="00E90F5F">
      <w:pPr>
        <w:pStyle w:val="NormalWeb"/>
        <w:numPr>
          <w:ilvl w:val="0"/>
          <w:numId w:val="17"/>
        </w:numPr>
      </w:pPr>
      <w:r>
        <w:t>Coverage, contribution, and assessment disputes</w:t>
      </w:r>
    </w:p>
    <w:p w:rsidR="00C67A35" w:rsidRDefault="00C67A35" w:rsidP="00E90F5F">
      <w:pPr>
        <w:pStyle w:val="NormalWeb"/>
        <w:numPr>
          <w:ilvl w:val="0"/>
          <w:numId w:val="17"/>
        </w:numPr>
      </w:pPr>
      <w:r>
        <w:t>Compliance advisory under EPF, ESI, and allied laws</w:t>
      </w:r>
    </w:p>
    <w:p w:rsidR="00C67A35" w:rsidRDefault="00C67A35" w:rsidP="00C67A35">
      <w:r>
        <w:pict>
          <v:rect id="_x0000_i1044" style="width:0;height:1.5pt" o:hralign="center" o:hrstd="t" o:hr="t" fillcolor="#a0a0a0" stroked="f"/>
        </w:pict>
      </w:r>
    </w:p>
    <w:p w:rsidR="00C67A35" w:rsidRDefault="00C67A35" w:rsidP="00C67A35">
      <w:pPr>
        <w:pStyle w:val="Heading3"/>
      </w:pPr>
      <w:r>
        <w:rPr>
          <w:rStyle w:val="Strong"/>
          <w:b w:val="0"/>
          <w:bCs w:val="0"/>
        </w:rPr>
        <w:t>Family &amp; Matrimonial Disputes</w:t>
      </w:r>
    </w:p>
    <w:p w:rsidR="00C67A35" w:rsidRDefault="00C67A35" w:rsidP="00E90F5F">
      <w:pPr>
        <w:pStyle w:val="NormalWeb"/>
        <w:numPr>
          <w:ilvl w:val="0"/>
          <w:numId w:val="18"/>
        </w:numPr>
      </w:pPr>
      <w:r>
        <w:t>Divorce, maintenance, custody, and matrimonial litigation</w:t>
      </w:r>
    </w:p>
    <w:p w:rsidR="00C67A35" w:rsidRDefault="00C67A35" w:rsidP="00E90F5F">
      <w:pPr>
        <w:pStyle w:val="NormalWeb"/>
        <w:numPr>
          <w:ilvl w:val="0"/>
          <w:numId w:val="18"/>
        </w:numPr>
      </w:pPr>
      <w:r>
        <w:t>Settlement, mediation, and family dispute resolution</w:t>
      </w:r>
    </w:p>
    <w:p w:rsidR="00FF54C8" w:rsidRPr="00FF54C8" w:rsidRDefault="00FF54C8" w:rsidP="00FF54C8">
      <w:pPr>
        <w:pStyle w:val="BodyText"/>
      </w:pPr>
    </w:p>
    <w:p w:rsidR="0099609C" w:rsidRDefault="0099609C" w:rsidP="0099609C">
      <w:pPr>
        <w:pStyle w:val="Heading2"/>
      </w:pPr>
      <w:r>
        <w:rPr>
          <w:rStyle w:val="Strong"/>
          <w:b w:val="0"/>
          <w:bCs w:val="0"/>
        </w:rPr>
        <w:t>Why Choose VIDHIT Law Associates?</w:t>
      </w:r>
    </w:p>
    <w:p w:rsidR="0099609C" w:rsidRDefault="0099609C" w:rsidP="00E90F5F">
      <w:pPr>
        <w:pStyle w:val="NormalWeb"/>
        <w:numPr>
          <w:ilvl w:val="0"/>
          <w:numId w:val="2"/>
        </w:numPr>
      </w:pPr>
      <w:r>
        <w:rPr>
          <w:rFonts w:ascii="MS Mincho" w:eastAsia="MS Mincho" w:hAnsi="MS Mincho" w:cs="MS Mincho" w:hint="eastAsia"/>
        </w:rPr>
        <w:t>✔</w:t>
      </w:r>
      <w:r>
        <w:t xml:space="preserve"> Client-focused and result-driven approach</w:t>
      </w:r>
    </w:p>
    <w:p w:rsidR="0099609C" w:rsidRDefault="0099609C" w:rsidP="00E90F5F">
      <w:pPr>
        <w:pStyle w:val="NormalWeb"/>
        <w:numPr>
          <w:ilvl w:val="0"/>
          <w:numId w:val="2"/>
        </w:numPr>
      </w:pPr>
      <w:r>
        <w:rPr>
          <w:rFonts w:ascii="MS Mincho" w:eastAsia="MS Mincho" w:hAnsi="MS Mincho" w:cs="MS Mincho" w:hint="eastAsia"/>
        </w:rPr>
        <w:t>✔</w:t>
      </w:r>
      <w:r>
        <w:t xml:space="preserve"> Strong litigation, drafting, and advisory expertise</w:t>
      </w:r>
    </w:p>
    <w:p w:rsidR="0099609C" w:rsidRDefault="0099609C" w:rsidP="00E90F5F">
      <w:pPr>
        <w:pStyle w:val="NormalWeb"/>
        <w:numPr>
          <w:ilvl w:val="0"/>
          <w:numId w:val="2"/>
        </w:numPr>
      </w:pPr>
      <w:r>
        <w:rPr>
          <w:rFonts w:ascii="MS Mincho" w:eastAsia="MS Mincho" w:hAnsi="MS Mincho" w:cs="MS Mincho" w:hint="eastAsia"/>
        </w:rPr>
        <w:t>✔</w:t>
      </w:r>
      <w:r>
        <w:t xml:space="preserve"> Strategic, ethical, and transparent legal advice</w:t>
      </w:r>
    </w:p>
    <w:p w:rsidR="0099609C" w:rsidRDefault="0099609C" w:rsidP="00E90F5F">
      <w:pPr>
        <w:pStyle w:val="NormalWeb"/>
        <w:numPr>
          <w:ilvl w:val="0"/>
          <w:numId w:val="2"/>
        </w:numPr>
      </w:pPr>
      <w:r>
        <w:rPr>
          <w:rFonts w:ascii="MS Mincho" w:eastAsia="MS Mincho" w:hAnsi="MS Mincho" w:cs="MS Mincho" w:hint="eastAsia"/>
        </w:rPr>
        <w:t>✔</w:t>
      </w:r>
      <w:r>
        <w:t xml:space="preserve"> Timely and cost-effective solutions</w:t>
      </w:r>
    </w:p>
    <w:p w:rsidR="0099609C" w:rsidRDefault="00A87E53" w:rsidP="0099609C">
      <w:r>
        <w:pict>
          <v:rect id="_x0000_i1028" style="width:0;height:1.5pt" o:hralign="center" o:hrstd="t" o:hr="t" fillcolor="#a0a0a0" stroked="f"/>
        </w:pict>
      </w:r>
    </w:p>
    <w:p w:rsidR="0099609C" w:rsidRDefault="0099609C" w:rsidP="0099609C">
      <w:pPr>
        <w:pStyle w:val="Heading2"/>
      </w:pPr>
      <w:r>
        <w:rPr>
          <w:rStyle w:val="Strong"/>
          <w:b w:val="0"/>
          <w:bCs w:val="0"/>
        </w:rPr>
        <w:t>Get in Touch</w:t>
      </w:r>
    </w:p>
    <w:p w:rsidR="0099609C" w:rsidRDefault="0099609C" w:rsidP="0099609C">
      <w:pPr>
        <w:pStyle w:val="NormalWeb"/>
      </w:pPr>
      <w:r>
        <w:rPr>
          <w:rStyle w:val="Strong"/>
        </w:rPr>
        <w:t>VIDHIT Law Associates</w:t>
      </w:r>
      <w:r>
        <w:br/>
      </w:r>
      <w:r>
        <w:rPr>
          <w:rStyle w:val="Emphasis"/>
        </w:rPr>
        <w:t>Your Trusted Legal Partner</w:t>
      </w:r>
    </w:p>
    <w:p w:rsidR="00E90F5F" w:rsidRDefault="0099609C" w:rsidP="0099609C">
      <w:pPr>
        <w:pStyle w:val="NormalWeb"/>
      </w:pPr>
      <w:r>
        <w:t xml:space="preserve">📞 </w:t>
      </w:r>
      <w:r>
        <w:rPr>
          <w:rStyle w:val="Strong"/>
        </w:rPr>
        <w:t>Mobile:</w:t>
      </w:r>
      <w:r>
        <w:t xml:space="preserve"> </w:t>
      </w:r>
      <w:r w:rsidR="00E90F5F">
        <w:t>9934652263</w:t>
      </w:r>
      <w:r>
        <w:t xml:space="preserve"> | </w:t>
      </w:r>
      <w:r w:rsidR="00E90F5F">
        <w:t>7008222725</w:t>
      </w:r>
    </w:p>
    <w:p w:rsidR="0099609C" w:rsidRDefault="0099609C" w:rsidP="0099609C">
      <w:pPr>
        <w:pStyle w:val="NormalWeb"/>
      </w:pPr>
      <w:r>
        <w:t xml:space="preserve">📧 </w:t>
      </w:r>
      <w:r>
        <w:rPr>
          <w:rStyle w:val="Strong"/>
        </w:rPr>
        <w:t>Email:</w:t>
      </w:r>
      <w:r>
        <w:t xml:space="preserve"> vidhitlawassociates8@gmail.com</w:t>
      </w:r>
    </w:p>
    <w:p w:rsidR="0099609C" w:rsidRDefault="0099609C" w:rsidP="0099609C">
      <w:pPr>
        <w:pStyle w:val="NormalWeb"/>
      </w:pPr>
      <w:r>
        <w:rPr>
          <w:rStyle w:val="Strong"/>
        </w:rPr>
        <w:t>Office Locations</w:t>
      </w:r>
      <w:proofErr w:type="gramStart"/>
      <w:r>
        <w:rPr>
          <w:rStyle w:val="Strong"/>
        </w:rPr>
        <w:t>:</w:t>
      </w:r>
      <w:proofErr w:type="gramEnd"/>
      <w:r>
        <w:br/>
        <w:t xml:space="preserve">📍 </w:t>
      </w:r>
      <w:r>
        <w:rPr>
          <w:rStyle w:val="Emphasis"/>
        </w:rPr>
        <w:t>Boring Road:</w:t>
      </w:r>
      <w:r>
        <w:br/>
      </w:r>
      <w:r>
        <w:lastRenderedPageBreak/>
        <w:t xml:space="preserve">House No. 9/10, Lane–2, </w:t>
      </w:r>
      <w:proofErr w:type="spellStart"/>
      <w:r>
        <w:t>Kasturba</w:t>
      </w:r>
      <w:proofErr w:type="spellEnd"/>
      <w:r>
        <w:t xml:space="preserve"> Path, North S.K. </w:t>
      </w:r>
      <w:proofErr w:type="spellStart"/>
      <w:r>
        <w:t>Puri</w:t>
      </w:r>
      <w:proofErr w:type="spellEnd"/>
      <w:r>
        <w:t>,</w:t>
      </w:r>
      <w:r>
        <w:br/>
        <w:t>Boring Road, Patna – 800013</w:t>
      </w:r>
    </w:p>
    <w:p w:rsidR="0099609C" w:rsidRDefault="0099609C" w:rsidP="0099609C">
      <w:pPr>
        <w:pStyle w:val="NormalWeb"/>
      </w:pPr>
      <w:r>
        <w:t xml:space="preserve">📍 </w:t>
      </w:r>
      <w:proofErr w:type="spellStart"/>
      <w:r>
        <w:rPr>
          <w:rStyle w:val="Emphasis"/>
        </w:rPr>
        <w:t>Kankarbagh</w:t>
      </w:r>
      <w:proofErr w:type="spellEnd"/>
      <w:proofErr w:type="gramStart"/>
      <w:r>
        <w:rPr>
          <w:rStyle w:val="Emphasis"/>
        </w:rPr>
        <w:t>:</w:t>
      </w:r>
      <w:proofErr w:type="gramEnd"/>
      <w:r>
        <w:br/>
      </w:r>
      <w:proofErr w:type="spellStart"/>
      <w:r>
        <w:t>Dasrath</w:t>
      </w:r>
      <w:proofErr w:type="spellEnd"/>
      <w:r>
        <w:t xml:space="preserve"> </w:t>
      </w:r>
      <w:proofErr w:type="spellStart"/>
      <w:r>
        <w:t>Gali</w:t>
      </w:r>
      <w:proofErr w:type="spellEnd"/>
      <w:r>
        <w:t xml:space="preserve">, </w:t>
      </w:r>
      <w:proofErr w:type="spellStart"/>
      <w:r>
        <w:t>Agamkuan</w:t>
      </w:r>
      <w:proofErr w:type="spellEnd"/>
      <w:r>
        <w:t xml:space="preserve"> Thana Road,</w:t>
      </w:r>
      <w:r>
        <w:br/>
      </w:r>
      <w:proofErr w:type="spellStart"/>
      <w:r>
        <w:t>Kankarbagh</w:t>
      </w:r>
      <w:proofErr w:type="spellEnd"/>
      <w:r>
        <w:t>, Patna – 800026</w:t>
      </w:r>
      <w:r>
        <w:br/>
      </w:r>
      <w:r>
        <w:rPr>
          <w:rStyle w:val="Emphasis"/>
        </w:rPr>
        <w:t>Seating Place:</w:t>
      </w:r>
      <w:r>
        <w:t xml:space="preserve"> </w:t>
      </w:r>
      <w:r w:rsidR="00C67A35" w:rsidRPr="00C67A35">
        <w:t xml:space="preserve">Room No.1, Table No.2, </w:t>
      </w:r>
      <w:proofErr w:type="spellStart"/>
      <w:r w:rsidR="00C67A35" w:rsidRPr="00C67A35">
        <w:t>Lawer's</w:t>
      </w:r>
      <w:proofErr w:type="spellEnd"/>
      <w:r w:rsidR="00C67A35" w:rsidRPr="00C67A35">
        <w:t xml:space="preserve"> Association, Patna High Court</w:t>
      </w:r>
    </w:p>
    <w:p w:rsidR="0099609C" w:rsidRDefault="00A87E53" w:rsidP="0099609C">
      <w:r>
        <w:pict>
          <v:rect id="_x0000_i1029" style="width:0;height:1.5pt" o:hralign="center" o:hrstd="t" o:hr="t" fillcolor="#a0a0a0" stroked="f"/>
        </w:pict>
      </w:r>
    </w:p>
    <w:bookmarkEnd w:id="0"/>
    <w:bookmarkEnd w:id="1"/>
    <w:p w:rsidR="00576641" w:rsidRDefault="00576641">
      <w:pPr>
        <w:pStyle w:val="FirstParagraph"/>
      </w:pPr>
    </w:p>
    <w:sectPr w:rsidR="00576641" w:rsidSect="00576641">
      <w:footnotePr>
        <w:numRestart w:val="eachSect"/>
      </w:footnotePr>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3491D"/>
    <w:multiLevelType w:val="multilevel"/>
    <w:tmpl w:val="4780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3A2C8B"/>
    <w:multiLevelType w:val="multilevel"/>
    <w:tmpl w:val="1E2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8B5A3F"/>
    <w:multiLevelType w:val="multilevel"/>
    <w:tmpl w:val="EBD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512928"/>
    <w:multiLevelType w:val="multilevel"/>
    <w:tmpl w:val="2814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333C1E"/>
    <w:multiLevelType w:val="multilevel"/>
    <w:tmpl w:val="F54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F35B0E"/>
    <w:multiLevelType w:val="multilevel"/>
    <w:tmpl w:val="FAF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344FC3"/>
    <w:multiLevelType w:val="multilevel"/>
    <w:tmpl w:val="6FC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0A187A"/>
    <w:multiLevelType w:val="multilevel"/>
    <w:tmpl w:val="637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EC674F"/>
    <w:multiLevelType w:val="multilevel"/>
    <w:tmpl w:val="237A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BF37FE"/>
    <w:multiLevelType w:val="multilevel"/>
    <w:tmpl w:val="89B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C50EB4"/>
    <w:multiLevelType w:val="multilevel"/>
    <w:tmpl w:val="80C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F63371"/>
    <w:multiLevelType w:val="multilevel"/>
    <w:tmpl w:val="42B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006FA4"/>
    <w:multiLevelType w:val="multilevel"/>
    <w:tmpl w:val="77C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0E45B9"/>
    <w:multiLevelType w:val="multilevel"/>
    <w:tmpl w:val="3744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983A6E"/>
    <w:multiLevelType w:val="multilevel"/>
    <w:tmpl w:val="7A9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D26B1C"/>
    <w:multiLevelType w:val="multilevel"/>
    <w:tmpl w:val="A8D2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07407D"/>
    <w:multiLevelType w:val="multilevel"/>
    <w:tmpl w:val="6C9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CC18E9"/>
    <w:multiLevelType w:val="multilevel"/>
    <w:tmpl w:val="BB8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7"/>
  </w:num>
  <w:num w:numId="4">
    <w:abstractNumId w:val="8"/>
  </w:num>
  <w:num w:numId="5">
    <w:abstractNumId w:val="2"/>
  </w:num>
  <w:num w:numId="6">
    <w:abstractNumId w:val="14"/>
  </w:num>
  <w:num w:numId="7">
    <w:abstractNumId w:val="1"/>
  </w:num>
  <w:num w:numId="8">
    <w:abstractNumId w:val="10"/>
  </w:num>
  <w:num w:numId="9">
    <w:abstractNumId w:val="13"/>
  </w:num>
  <w:num w:numId="10">
    <w:abstractNumId w:val="0"/>
  </w:num>
  <w:num w:numId="11">
    <w:abstractNumId w:val="16"/>
  </w:num>
  <w:num w:numId="12">
    <w:abstractNumId w:val="5"/>
  </w:num>
  <w:num w:numId="13">
    <w:abstractNumId w:val="9"/>
  </w:num>
  <w:num w:numId="14">
    <w:abstractNumId w:val="6"/>
  </w:num>
  <w:num w:numId="15">
    <w:abstractNumId w:val="12"/>
  </w:num>
  <w:num w:numId="16">
    <w:abstractNumId w:val="4"/>
  </w:num>
  <w:num w:numId="17">
    <w:abstractNumId w:val="17"/>
  </w:num>
  <w:num w:numId="18">
    <w:abstractNumId w:val="15"/>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rsids>
    <w:rsidRoot w:val="00576641"/>
    <w:rsid w:val="00137F0F"/>
    <w:rsid w:val="00351D6E"/>
    <w:rsid w:val="004F1785"/>
    <w:rsid w:val="00576641"/>
    <w:rsid w:val="005C557C"/>
    <w:rsid w:val="006338CC"/>
    <w:rsid w:val="00686B8B"/>
    <w:rsid w:val="0099609C"/>
    <w:rsid w:val="00A87E53"/>
    <w:rsid w:val="00C67A35"/>
    <w:rsid w:val="00E90F5F"/>
    <w:rsid w:val="00FF54C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Strong" w:uiPriority="22" w:qFormat="1"/>
    <w:lsdException w:name="Emphasis" w:uiPriority="20" w:qFormat="1"/>
    <w:lsdException w:name="Normal (Web)" w:uiPriority="99"/>
  </w:latentStyles>
  <w:style w:type="paragraph" w:default="1" w:styleId="Normal">
    <w:name w:val="Normal"/>
    <w:qFormat/>
    <w:rsid w:val="00576641"/>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76641"/>
    <w:pPr>
      <w:spacing w:before="180" w:after="180"/>
    </w:pPr>
  </w:style>
  <w:style w:type="paragraph" w:customStyle="1" w:styleId="FirstParagraph">
    <w:name w:val="First Paragraph"/>
    <w:basedOn w:val="BodyText"/>
    <w:next w:val="BodyText"/>
    <w:qFormat/>
    <w:rsid w:val="00576641"/>
  </w:style>
  <w:style w:type="paragraph" w:customStyle="1" w:styleId="Compact">
    <w:name w:val="Compact"/>
    <w:basedOn w:val="BodyText"/>
    <w:qFormat/>
    <w:rsid w:val="0057664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576641"/>
    <w:pPr>
      <w:keepNext/>
      <w:keepLines/>
      <w:jc w:val="center"/>
    </w:pPr>
  </w:style>
  <w:style w:type="paragraph" w:styleId="Date">
    <w:name w:val="Date"/>
    <w:next w:val="BodyText"/>
    <w:qFormat/>
    <w:rsid w:val="00576641"/>
    <w:pPr>
      <w:keepNext/>
      <w:keepLines/>
      <w:jc w:val="center"/>
    </w:pPr>
  </w:style>
  <w:style w:type="paragraph" w:customStyle="1" w:styleId="AbstractTitle">
    <w:name w:val="Abstract Title"/>
    <w:basedOn w:val="Normal"/>
    <w:next w:val="Abstract"/>
    <w:qFormat/>
    <w:rsid w:val="00576641"/>
    <w:pPr>
      <w:keepNext/>
      <w:keepLines/>
      <w:spacing w:before="300" w:after="0"/>
      <w:jc w:val="center"/>
    </w:pPr>
    <w:rPr>
      <w:b/>
      <w:sz w:val="20"/>
      <w:szCs w:val="20"/>
    </w:rPr>
  </w:style>
  <w:style w:type="paragraph" w:customStyle="1" w:styleId="Abstract">
    <w:name w:val="Abstract"/>
    <w:basedOn w:val="Normal"/>
    <w:next w:val="BodyText"/>
    <w:qFormat/>
    <w:rsid w:val="00576641"/>
    <w:pPr>
      <w:keepNext/>
      <w:keepLines/>
      <w:spacing w:before="100" w:after="300"/>
    </w:pPr>
    <w:rPr>
      <w:sz w:val="20"/>
      <w:szCs w:val="20"/>
    </w:rPr>
  </w:style>
  <w:style w:type="paragraph" w:styleId="Bibliography">
    <w:name w:val="Bibliography"/>
    <w:basedOn w:val="Normal"/>
    <w:qFormat/>
    <w:rsid w:val="00576641"/>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576641"/>
    <w:pPr>
      <w:spacing w:before="100" w:after="100"/>
      <w:ind w:left="480" w:right="480"/>
    </w:pPr>
  </w:style>
  <w:style w:type="paragraph" w:styleId="FootnoteText">
    <w:name w:val="footnote text"/>
    <w:basedOn w:val="Normal"/>
    <w:uiPriority w:val="9"/>
    <w:unhideWhenUsed/>
    <w:qFormat/>
    <w:rsid w:val="00576641"/>
  </w:style>
  <w:style w:type="paragraph" w:customStyle="1" w:styleId="FootnoteBlockText">
    <w:name w:val="Footnote Block Text"/>
    <w:basedOn w:val="FootnoteText"/>
    <w:next w:val="FootnoteText"/>
    <w:uiPriority w:val="9"/>
    <w:unhideWhenUsed/>
    <w:qFormat/>
    <w:rsid w:val="00576641"/>
    <w:pPr>
      <w:spacing w:before="100" w:after="100"/>
      <w:ind w:left="480" w:right="480"/>
    </w:pPr>
  </w:style>
  <w:style w:type="table" w:customStyle="1" w:styleId="Table">
    <w:name w:val="Table"/>
    <w:semiHidden/>
    <w:unhideWhenUsed/>
    <w:qFormat/>
    <w:rsid w:val="00576641"/>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76641"/>
    <w:pPr>
      <w:keepNext/>
      <w:keepLines/>
      <w:spacing w:after="0"/>
    </w:pPr>
    <w:rPr>
      <w:b/>
    </w:rPr>
  </w:style>
  <w:style w:type="paragraph" w:customStyle="1" w:styleId="Definition">
    <w:name w:val="Definition"/>
    <w:basedOn w:val="Normal"/>
    <w:rsid w:val="00576641"/>
  </w:style>
  <w:style w:type="paragraph" w:styleId="Caption">
    <w:name w:val="caption"/>
    <w:basedOn w:val="Normal"/>
    <w:link w:val="BodyTextChar"/>
    <w:rsid w:val="00576641"/>
    <w:pPr>
      <w:spacing w:after="120"/>
    </w:pPr>
    <w:rPr>
      <w:i/>
    </w:rPr>
  </w:style>
  <w:style w:type="paragraph" w:customStyle="1" w:styleId="TableCaption">
    <w:name w:val="Table Caption"/>
    <w:basedOn w:val="Caption"/>
    <w:rsid w:val="00576641"/>
    <w:pPr>
      <w:keepNext/>
    </w:pPr>
  </w:style>
  <w:style w:type="paragraph" w:customStyle="1" w:styleId="ImageCaption">
    <w:name w:val="Image Caption"/>
    <w:basedOn w:val="Caption"/>
    <w:rsid w:val="00576641"/>
  </w:style>
  <w:style w:type="paragraph" w:customStyle="1" w:styleId="Figure">
    <w:name w:val="Figure"/>
    <w:basedOn w:val="Normal"/>
    <w:rsid w:val="00576641"/>
  </w:style>
  <w:style w:type="paragraph" w:customStyle="1" w:styleId="CaptionedFigure">
    <w:name w:val="Captioned Figure"/>
    <w:basedOn w:val="Figure"/>
    <w:rsid w:val="00576641"/>
    <w:pPr>
      <w:keepNext/>
    </w:pPr>
  </w:style>
  <w:style w:type="character" w:customStyle="1" w:styleId="BodyTextChar">
    <w:name w:val="Body Text Char"/>
    <w:basedOn w:val="DefaultParagraphFont"/>
    <w:link w:val="Caption"/>
    <w:rsid w:val="00576641"/>
  </w:style>
  <w:style w:type="character" w:customStyle="1" w:styleId="VerbatimChar">
    <w:name w:val="Verbatim Char"/>
    <w:basedOn w:val="BodyTextChar"/>
    <w:link w:val="SourceCode"/>
    <w:rsid w:val="00576641"/>
    <w:rPr>
      <w:rFonts w:ascii="Consolas" w:hAnsi="Consolas"/>
      <w:sz w:val="22"/>
    </w:rPr>
  </w:style>
  <w:style w:type="character" w:customStyle="1" w:styleId="SectionNumber">
    <w:name w:val="Section Number"/>
    <w:basedOn w:val="BodyTextChar"/>
    <w:rsid w:val="00576641"/>
  </w:style>
  <w:style w:type="character" w:styleId="FootnoteReference">
    <w:name w:val="footnote reference"/>
    <w:basedOn w:val="BodyTextChar"/>
    <w:rsid w:val="00576641"/>
    <w:rPr>
      <w:vertAlign w:val="superscript"/>
    </w:rPr>
  </w:style>
  <w:style w:type="character" w:styleId="Hyperlink">
    <w:name w:val="Hyperlink"/>
    <w:basedOn w:val="BodyTextChar"/>
    <w:rsid w:val="00576641"/>
    <w:rPr>
      <w:color w:val="156082" w:themeColor="accent1"/>
    </w:rPr>
  </w:style>
  <w:style w:type="paragraph" w:styleId="TOCHeading">
    <w:name w:val="TOC Heading"/>
    <w:basedOn w:val="Heading1"/>
    <w:next w:val="BodyText"/>
    <w:uiPriority w:val="39"/>
    <w:unhideWhenUsed/>
    <w:qFormat/>
    <w:rsid w:val="00576641"/>
    <w:pPr>
      <w:spacing w:before="240" w:line="259" w:lineRule="auto"/>
      <w:outlineLvl w:val="9"/>
    </w:pPr>
  </w:style>
  <w:style w:type="paragraph" w:customStyle="1" w:styleId="SourceCode">
    <w:name w:val="Source Code"/>
    <w:basedOn w:val="Normal"/>
    <w:link w:val="VerbatimChar"/>
    <w:rsid w:val="00576641"/>
    <w:pPr>
      <w:wordWrap w:val="0"/>
    </w:pPr>
  </w:style>
  <w:style w:type="character" w:customStyle="1" w:styleId="KeywordTok">
    <w:name w:val="KeywordTok"/>
    <w:basedOn w:val="VerbatimChar"/>
    <w:rsid w:val="00576641"/>
    <w:rPr>
      <w:b/>
      <w:color w:val="007020"/>
    </w:rPr>
  </w:style>
  <w:style w:type="character" w:customStyle="1" w:styleId="DataTypeTok">
    <w:name w:val="DataTypeTok"/>
    <w:basedOn w:val="VerbatimChar"/>
    <w:rsid w:val="00576641"/>
    <w:rPr>
      <w:color w:val="902000"/>
    </w:rPr>
  </w:style>
  <w:style w:type="character" w:customStyle="1" w:styleId="DecValTok">
    <w:name w:val="DecValTok"/>
    <w:basedOn w:val="VerbatimChar"/>
    <w:rsid w:val="00576641"/>
    <w:rPr>
      <w:color w:val="40A070"/>
    </w:rPr>
  </w:style>
  <w:style w:type="character" w:customStyle="1" w:styleId="BaseNTok">
    <w:name w:val="BaseNTok"/>
    <w:basedOn w:val="VerbatimChar"/>
    <w:rsid w:val="00576641"/>
    <w:rPr>
      <w:color w:val="40A070"/>
    </w:rPr>
  </w:style>
  <w:style w:type="character" w:customStyle="1" w:styleId="FloatTok">
    <w:name w:val="FloatTok"/>
    <w:basedOn w:val="VerbatimChar"/>
    <w:rsid w:val="00576641"/>
    <w:rPr>
      <w:color w:val="40A070"/>
    </w:rPr>
  </w:style>
  <w:style w:type="character" w:customStyle="1" w:styleId="ConstantTok">
    <w:name w:val="ConstantTok"/>
    <w:basedOn w:val="VerbatimChar"/>
    <w:rsid w:val="00576641"/>
    <w:rPr>
      <w:color w:val="880000"/>
    </w:rPr>
  </w:style>
  <w:style w:type="character" w:customStyle="1" w:styleId="CharTok">
    <w:name w:val="CharTok"/>
    <w:basedOn w:val="VerbatimChar"/>
    <w:rsid w:val="00576641"/>
    <w:rPr>
      <w:color w:val="4070A0"/>
    </w:rPr>
  </w:style>
  <w:style w:type="character" w:customStyle="1" w:styleId="SpecialCharTok">
    <w:name w:val="SpecialCharTok"/>
    <w:basedOn w:val="VerbatimChar"/>
    <w:rsid w:val="00576641"/>
    <w:rPr>
      <w:color w:val="4070A0"/>
    </w:rPr>
  </w:style>
  <w:style w:type="character" w:customStyle="1" w:styleId="StringTok">
    <w:name w:val="StringTok"/>
    <w:basedOn w:val="VerbatimChar"/>
    <w:rsid w:val="00576641"/>
    <w:rPr>
      <w:color w:val="4070A0"/>
    </w:rPr>
  </w:style>
  <w:style w:type="character" w:customStyle="1" w:styleId="VerbatimStringTok">
    <w:name w:val="VerbatimStringTok"/>
    <w:basedOn w:val="VerbatimChar"/>
    <w:rsid w:val="00576641"/>
    <w:rPr>
      <w:color w:val="4070A0"/>
    </w:rPr>
  </w:style>
  <w:style w:type="character" w:customStyle="1" w:styleId="SpecialStringTok">
    <w:name w:val="SpecialStringTok"/>
    <w:basedOn w:val="VerbatimChar"/>
    <w:rsid w:val="00576641"/>
    <w:rPr>
      <w:color w:val="BB6688"/>
    </w:rPr>
  </w:style>
  <w:style w:type="character" w:customStyle="1" w:styleId="ImportTok">
    <w:name w:val="ImportTok"/>
    <w:basedOn w:val="VerbatimChar"/>
    <w:rsid w:val="00576641"/>
    <w:rPr>
      <w:b/>
      <w:color w:val="008000"/>
    </w:rPr>
  </w:style>
  <w:style w:type="character" w:customStyle="1" w:styleId="CommentTok">
    <w:name w:val="CommentTok"/>
    <w:basedOn w:val="VerbatimChar"/>
    <w:rsid w:val="00576641"/>
    <w:rPr>
      <w:i/>
      <w:color w:val="60A0B0"/>
    </w:rPr>
  </w:style>
  <w:style w:type="character" w:customStyle="1" w:styleId="DocumentationTok">
    <w:name w:val="DocumentationTok"/>
    <w:basedOn w:val="VerbatimChar"/>
    <w:rsid w:val="00576641"/>
    <w:rPr>
      <w:i/>
      <w:color w:val="BA2121"/>
    </w:rPr>
  </w:style>
  <w:style w:type="character" w:customStyle="1" w:styleId="AnnotationTok">
    <w:name w:val="AnnotationTok"/>
    <w:basedOn w:val="VerbatimChar"/>
    <w:rsid w:val="00576641"/>
    <w:rPr>
      <w:b/>
      <w:i/>
      <w:color w:val="60A0B0"/>
    </w:rPr>
  </w:style>
  <w:style w:type="character" w:customStyle="1" w:styleId="CommentVarTok">
    <w:name w:val="CommentVarTok"/>
    <w:basedOn w:val="VerbatimChar"/>
    <w:rsid w:val="00576641"/>
    <w:rPr>
      <w:b/>
      <w:i/>
      <w:color w:val="60A0B0"/>
    </w:rPr>
  </w:style>
  <w:style w:type="character" w:customStyle="1" w:styleId="OtherTok">
    <w:name w:val="OtherTok"/>
    <w:basedOn w:val="VerbatimChar"/>
    <w:rsid w:val="00576641"/>
    <w:rPr>
      <w:color w:val="007020"/>
    </w:rPr>
  </w:style>
  <w:style w:type="character" w:customStyle="1" w:styleId="FunctionTok">
    <w:name w:val="FunctionTok"/>
    <w:basedOn w:val="VerbatimChar"/>
    <w:rsid w:val="00576641"/>
    <w:rPr>
      <w:color w:val="06287E"/>
    </w:rPr>
  </w:style>
  <w:style w:type="character" w:customStyle="1" w:styleId="VariableTok">
    <w:name w:val="VariableTok"/>
    <w:basedOn w:val="VerbatimChar"/>
    <w:rsid w:val="00576641"/>
    <w:rPr>
      <w:color w:val="19177C"/>
    </w:rPr>
  </w:style>
  <w:style w:type="character" w:customStyle="1" w:styleId="ControlFlowTok">
    <w:name w:val="ControlFlowTok"/>
    <w:basedOn w:val="VerbatimChar"/>
    <w:rsid w:val="00576641"/>
    <w:rPr>
      <w:b/>
      <w:color w:val="007020"/>
    </w:rPr>
  </w:style>
  <w:style w:type="character" w:customStyle="1" w:styleId="OperatorTok">
    <w:name w:val="OperatorTok"/>
    <w:basedOn w:val="VerbatimChar"/>
    <w:rsid w:val="00576641"/>
    <w:rPr>
      <w:color w:val="666666"/>
    </w:rPr>
  </w:style>
  <w:style w:type="character" w:customStyle="1" w:styleId="BuiltInTok">
    <w:name w:val="BuiltInTok"/>
    <w:basedOn w:val="VerbatimChar"/>
    <w:rsid w:val="00576641"/>
    <w:rPr>
      <w:color w:val="008000"/>
    </w:rPr>
  </w:style>
  <w:style w:type="character" w:customStyle="1" w:styleId="ExtensionTok">
    <w:name w:val="ExtensionTok"/>
    <w:basedOn w:val="VerbatimChar"/>
    <w:rsid w:val="00576641"/>
  </w:style>
  <w:style w:type="character" w:customStyle="1" w:styleId="PreprocessorTok">
    <w:name w:val="PreprocessorTok"/>
    <w:basedOn w:val="VerbatimChar"/>
    <w:rsid w:val="00576641"/>
    <w:rPr>
      <w:color w:val="BC7A00"/>
    </w:rPr>
  </w:style>
  <w:style w:type="character" w:customStyle="1" w:styleId="AttributeTok">
    <w:name w:val="AttributeTok"/>
    <w:basedOn w:val="VerbatimChar"/>
    <w:rsid w:val="00576641"/>
    <w:rPr>
      <w:color w:val="7D9029"/>
    </w:rPr>
  </w:style>
  <w:style w:type="character" w:customStyle="1" w:styleId="RegionMarkerTok">
    <w:name w:val="RegionMarkerTok"/>
    <w:basedOn w:val="VerbatimChar"/>
    <w:rsid w:val="00576641"/>
  </w:style>
  <w:style w:type="character" w:customStyle="1" w:styleId="InformationTok">
    <w:name w:val="InformationTok"/>
    <w:basedOn w:val="VerbatimChar"/>
    <w:rsid w:val="00576641"/>
    <w:rPr>
      <w:b/>
      <w:i/>
      <w:color w:val="60A0B0"/>
    </w:rPr>
  </w:style>
  <w:style w:type="character" w:customStyle="1" w:styleId="WarningTok">
    <w:name w:val="WarningTok"/>
    <w:basedOn w:val="VerbatimChar"/>
    <w:rsid w:val="00576641"/>
    <w:rPr>
      <w:b/>
      <w:i/>
      <w:color w:val="60A0B0"/>
    </w:rPr>
  </w:style>
  <w:style w:type="character" w:customStyle="1" w:styleId="AlertTok">
    <w:name w:val="AlertTok"/>
    <w:basedOn w:val="VerbatimChar"/>
    <w:rsid w:val="00576641"/>
    <w:rPr>
      <w:b/>
      <w:color w:val="FF0000"/>
    </w:rPr>
  </w:style>
  <w:style w:type="character" w:customStyle="1" w:styleId="ErrorTok">
    <w:name w:val="ErrorTok"/>
    <w:basedOn w:val="VerbatimChar"/>
    <w:rsid w:val="00576641"/>
    <w:rPr>
      <w:b/>
      <w:color w:val="FF0000"/>
    </w:rPr>
  </w:style>
  <w:style w:type="character" w:customStyle="1" w:styleId="NormalTok">
    <w:name w:val="NormalTok"/>
    <w:basedOn w:val="VerbatimChar"/>
    <w:rsid w:val="00576641"/>
  </w:style>
  <w:style w:type="paragraph" w:styleId="NormalWeb">
    <w:name w:val="Normal (Web)"/>
    <w:basedOn w:val="Normal"/>
    <w:uiPriority w:val="99"/>
    <w:unhideWhenUsed/>
    <w:rsid w:val="00137F0F"/>
    <w:pPr>
      <w:spacing w:before="100" w:beforeAutospacing="1" w:after="100" w:afterAutospacing="1"/>
    </w:pPr>
    <w:rPr>
      <w:rFonts w:ascii="Times New Roman" w:eastAsia="Times New Roman" w:hAnsi="Times New Roman" w:cs="Times New Roman"/>
      <w:lang w:bidi="hi-IN"/>
    </w:rPr>
  </w:style>
  <w:style w:type="character" w:styleId="Strong">
    <w:name w:val="Strong"/>
    <w:basedOn w:val="DefaultParagraphFont"/>
    <w:uiPriority w:val="22"/>
    <w:qFormat/>
    <w:rsid w:val="00137F0F"/>
    <w:rPr>
      <w:b/>
      <w:bCs/>
    </w:rPr>
  </w:style>
  <w:style w:type="character" w:styleId="Emphasis">
    <w:name w:val="Emphasis"/>
    <w:basedOn w:val="DefaultParagraphFont"/>
    <w:uiPriority w:val="20"/>
    <w:qFormat/>
    <w:rsid w:val="0099609C"/>
    <w:rPr>
      <w:i/>
      <w:iCs/>
    </w:rPr>
  </w:style>
</w:styles>
</file>

<file path=word/webSettings.xml><?xml version="1.0" encoding="utf-8"?>
<w:webSettings xmlns:r="http://schemas.openxmlformats.org/officeDocument/2006/relationships" xmlns:w="http://schemas.openxmlformats.org/wordprocessingml/2006/main">
  <w:divs>
    <w:div w:id="383917201">
      <w:bodyDiv w:val="1"/>
      <w:marLeft w:val="0"/>
      <w:marRight w:val="0"/>
      <w:marTop w:val="0"/>
      <w:marBottom w:val="0"/>
      <w:divBdr>
        <w:top w:val="none" w:sz="0" w:space="0" w:color="auto"/>
        <w:left w:val="none" w:sz="0" w:space="0" w:color="auto"/>
        <w:bottom w:val="none" w:sz="0" w:space="0" w:color="auto"/>
        <w:right w:val="none" w:sz="0" w:space="0" w:color="auto"/>
      </w:divBdr>
    </w:div>
    <w:div w:id="525095201">
      <w:bodyDiv w:val="1"/>
      <w:marLeft w:val="0"/>
      <w:marRight w:val="0"/>
      <w:marTop w:val="0"/>
      <w:marBottom w:val="0"/>
      <w:divBdr>
        <w:top w:val="none" w:sz="0" w:space="0" w:color="auto"/>
        <w:left w:val="none" w:sz="0" w:space="0" w:color="auto"/>
        <w:bottom w:val="none" w:sz="0" w:space="0" w:color="auto"/>
        <w:right w:val="none" w:sz="0" w:space="0" w:color="auto"/>
      </w:divBdr>
    </w:div>
    <w:div w:id="1029840270">
      <w:bodyDiv w:val="1"/>
      <w:marLeft w:val="0"/>
      <w:marRight w:val="0"/>
      <w:marTop w:val="0"/>
      <w:marBottom w:val="0"/>
      <w:divBdr>
        <w:top w:val="none" w:sz="0" w:space="0" w:color="auto"/>
        <w:left w:val="none" w:sz="0" w:space="0" w:color="auto"/>
        <w:bottom w:val="none" w:sz="0" w:space="0" w:color="auto"/>
        <w:right w:val="none" w:sz="0" w:space="0" w:color="auto"/>
      </w:divBdr>
    </w:div>
    <w:div w:id="1221748884">
      <w:bodyDiv w:val="1"/>
      <w:marLeft w:val="0"/>
      <w:marRight w:val="0"/>
      <w:marTop w:val="0"/>
      <w:marBottom w:val="0"/>
      <w:divBdr>
        <w:top w:val="none" w:sz="0" w:space="0" w:color="auto"/>
        <w:left w:val="none" w:sz="0" w:space="0" w:color="auto"/>
        <w:bottom w:val="none" w:sz="0" w:space="0" w:color="auto"/>
        <w:right w:val="none" w:sz="0" w:space="0" w:color="auto"/>
      </w:divBdr>
    </w:div>
    <w:div w:id="1393457045">
      <w:bodyDiv w:val="1"/>
      <w:marLeft w:val="0"/>
      <w:marRight w:val="0"/>
      <w:marTop w:val="0"/>
      <w:marBottom w:val="0"/>
      <w:divBdr>
        <w:top w:val="none" w:sz="0" w:space="0" w:color="auto"/>
        <w:left w:val="none" w:sz="0" w:space="0" w:color="auto"/>
        <w:bottom w:val="none" w:sz="0" w:space="0" w:color="auto"/>
        <w:right w:val="none" w:sz="0" w:space="0" w:color="auto"/>
      </w:divBdr>
    </w:div>
    <w:div w:id="1521502973">
      <w:bodyDiv w:val="1"/>
      <w:marLeft w:val="0"/>
      <w:marRight w:val="0"/>
      <w:marTop w:val="0"/>
      <w:marBottom w:val="0"/>
      <w:divBdr>
        <w:top w:val="none" w:sz="0" w:space="0" w:color="auto"/>
        <w:left w:val="none" w:sz="0" w:space="0" w:color="auto"/>
        <w:bottom w:val="none" w:sz="0" w:space="0" w:color="auto"/>
        <w:right w:val="none" w:sz="0" w:space="0" w:color="auto"/>
      </w:divBdr>
    </w:div>
    <w:div w:id="1537693393">
      <w:bodyDiv w:val="1"/>
      <w:marLeft w:val="0"/>
      <w:marRight w:val="0"/>
      <w:marTop w:val="0"/>
      <w:marBottom w:val="0"/>
      <w:divBdr>
        <w:top w:val="none" w:sz="0" w:space="0" w:color="auto"/>
        <w:left w:val="none" w:sz="0" w:space="0" w:color="auto"/>
        <w:bottom w:val="none" w:sz="0" w:space="0" w:color="auto"/>
        <w:right w:val="none" w:sz="0" w:space="0" w:color="auto"/>
      </w:divBdr>
    </w:div>
    <w:div w:id="1716851173">
      <w:bodyDiv w:val="1"/>
      <w:marLeft w:val="0"/>
      <w:marRight w:val="0"/>
      <w:marTop w:val="0"/>
      <w:marBottom w:val="0"/>
      <w:divBdr>
        <w:top w:val="none" w:sz="0" w:space="0" w:color="auto"/>
        <w:left w:val="none" w:sz="0" w:space="0" w:color="auto"/>
        <w:bottom w:val="none" w:sz="0" w:space="0" w:color="auto"/>
        <w:right w:val="none" w:sz="0" w:space="0" w:color="auto"/>
      </w:divBdr>
    </w:div>
    <w:div w:id="1805659873">
      <w:bodyDiv w:val="1"/>
      <w:marLeft w:val="0"/>
      <w:marRight w:val="0"/>
      <w:marTop w:val="0"/>
      <w:marBottom w:val="0"/>
      <w:divBdr>
        <w:top w:val="none" w:sz="0" w:space="0" w:color="auto"/>
        <w:left w:val="none" w:sz="0" w:space="0" w:color="auto"/>
        <w:bottom w:val="none" w:sz="0" w:space="0" w:color="auto"/>
        <w:right w:val="none" w:sz="0" w:space="0" w:color="auto"/>
      </w:divBdr>
    </w:div>
    <w:div w:id="188497462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MY PC</cp:lastModifiedBy>
  <cp:revision>4</cp:revision>
  <dcterms:created xsi:type="dcterms:W3CDTF">2026-01-16T18:35:00Z</dcterms:created>
  <dcterms:modified xsi:type="dcterms:W3CDTF">2026-01-17T03:31:00Z</dcterms:modified>
</cp:coreProperties>
</file>