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7C72" w14:textId="77777777" w:rsidR="001D5F6B" w:rsidRPr="003C5911" w:rsidRDefault="00000000">
      <w:pPr>
        <w:spacing w:after="4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5911">
        <w:rPr>
          <w:rFonts w:eastAsia="Calibr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Movie Box Office &amp; Sequel Performance Analysis</w:t>
      </w:r>
    </w:p>
    <w:p w14:paraId="73B0ECCA" w14:textId="77777777" w:rsidR="001D5F6B" w:rsidRPr="003C5911" w:rsidRDefault="00000000">
      <w:pPr>
        <w:spacing w:after="120"/>
      </w:pPr>
      <w:r w:rsidRPr="003C5911">
        <w:rPr>
          <w:rFonts w:eastAsia="Calibri"/>
          <w:color w:val="5B6770"/>
          <w:sz w:val="21"/>
          <w:szCs w:val="21"/>
        </w:rPr>
        <w:t xml:space="preserve">Azim </w:t>
      </w:r>
      <w:proofErr w:type="gramStart"/>
      <w:r w:rsidRPr="003C5911">
        <w:rPr>
          <w:rFonts w:eastAsia="Calibri"/>
          <w:color w:val="5B6770"/>
          <w:sz w:val="21"/>
          <w:szCs w:val="21"/>
        </w:rPr>
        <w:t>Tashpulatov  |</w:t>
      </w:r>
      <w:proofErr w:type="gramEnd"/>
      <w:r w:rsidRPr="003C5911">
        <w:rPr>
          <w:rFonts w:eastAsia="Calibri"/>
          <w:color w:val="5B6770"/>
          <w:sz w:val="21"/>
          <w:szCs w:val="21"/>
        </w:rPr>
        <w:t xml:space="preserve">  University of </w:t>
      </w:r>
      <w:proofErr w:type="gramStart"/>
      <w:r w:rsidRPr="003C5911">
        <w:rPr>
          <w:rFonts w:eastAsia="Calibri"/>
          <w:color w:val="5B6770"/>
          <w:sz w:val="21"/>
          <w:szCs w:val="21"/>
        </w:rPr>
        <w:t>Evansville  |</w:t>
      </w:r>
      <w:proofErr w:type="gramEnd"/>
      <w:r w:rsidRPr="003C5911">
        <w:rPr>
          <w:rFonts w:eastAsia="Calibri"/>
          <w:color w:val="5B6770"/>
          <w:sz w:val="21"/>
          <w:szCs w:val="21"/>
        </w:rPr>
        <w:t xml:space="preserve">  R / </w:t>
      </w:r>
      <w:proofErr w:type="gramStart"/>
      <w:r w:rsidRPr="003C5911">
        <w:rPr>
          <w:rFonts w:eastAsia="Calibri"/>
          <w:color w:val="5B6770"/>
          <w:sz w:val="21"/>
          <w:szCs w:val="21"/>
        </w:rPr>
        <w:t>RStudio  |</w:t>
      </w:r>
      <w:proofErr w:type="gramEnd"/>
      <w:r w:rsidRPr="003C5911">
        <w:rPr>
          <w:rFonts w:eastAsia="Calibri"/>
          <w:color w:val="5B6770"/>
          <w:sz w:val="21"/>
          <w:szCs w:val="21"/>
        </w:rPr>
        <w:t xml:space="preserve">  2025</w:t>
      </w:r>
    </w:p>
    <w:p w14:paraId="6578F73E" w14:textId="77777777" w:rsidR="001D5F6B" w:rsidRPr="003C5911" w:rsidRDefault="00000000">
      <w:pPr>
        <w:keepNext/>
        <w:pBdr>
          <w:bottom w:val="single" w:sz="6" w:space="2" w:color="1F3A5F"/>
        </w:pBdr>
        <w:spacing w:before="200" w:after="80"/>
      </w:pPr>
      <w:r w:rsidRPr="003C5911">
        <w:rPr>
          <w:rFonts w:eastAsia="Calibri"/>
          <w:b/>
          <w:bCs/>
          <w:spacing w:val="30"/>
          <w:sz w:val="21"/>
          <w:szCs w:val="21"/>
        </w:rPr>
        <w:t>OVERVIEW</w:t>
      </w:r>
    </w:p>
    <w:p w14:paraId="6CB1FB15" w14:textId="77777777" w:rsidR="001D5F6B" w:rsidRPr="003C5911" w:rsidRDefault="00000000">
      <w:pPr>
        <w:spacing w:after="100" w:line="264" w:lineRule="auto"/>
      </w:pPr>
      <w:r w:rsidRPr="003C5911">
        <w:rPr>
          <w:rFonts w:eastAsia="Calibri"/>
          <w:color w:val="1F2933"/>
          <w:sz w:val="21"/>
          <w:szCs w:val="21"/>
        </w:rPr>
        <w:t xml:space="preserve">This project asks a simple question: do sequels earn more than original films, and does the gap hold up once a film’s budget, era, genre and release season are </w:t>
      </w:r>
      <w:proofErr w:type="gramStart"/>
      <w:r w:rsidRPr="003C5911">
        <w:rPr>
          <w:rFonts w:eastAsia="Calibri"/>
          <w:color w:val="1F2933"/>
          <w:sz w:val="21"/>
          <w:szCs w:val="21"/>
        </w:rPr>
        <w:t>taken into account</w:t>
      </w:r>
      <w:proofErr w:type="gramEnd"/>
      <w:r w:rsidRPr="003C5911">
        <w:rPr>
          <w:rFonts w:eastAsia="Calibri"/>
          <w:color w:val="1F2933"/>
          <w:sz w:val="21"/>
          <w:szCs w:val="21"/>
        </w:rPr>
        <w:t>? I cleaned a public movie dataset, compared the two groups with descriptive statistics and visualizations, and used linear regression to estimate the sequel effect, then tested whether the model was reliable.</w:t>
      </w:r>
    </w:p>
    <w:p w14:paraId="02FA549C" w14:textId="77777777" w:rsidR="001D5F6B" w:rsidRPr="003C5911" w:rsidRDefault="00000000">
      <w:pPr>
        <w:keepNext/>
        <w:pBdr>
          <w:bottom w:val="single" w:sz="6" w:space="2" w:color="1F3A5F"/>
        </w:pBdr>
        <w:spacing w:before="200" w:after="80"/>
      </w:pPr>
      <w:r w:rsidRPr="003C5911">
        <w:rPr>
          <w:rFonts w:eastAsia="Calibri"/>
          <w:b/>
          <w:bCs/>
          <w:spacing w:val="30"/>
          <w:sz w:val="21"/>
          <w:szCs w:val="21"/>
        </w:rPr>
        <w:t>DATA AND METHOD</w:t>
      </w:r>
    </w:p>
    <w:p w14:paraId="588CA170"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Data: </w:t>
      </w:r>
      <w:proofErr w:type="spellStart"/>
      <w:r w:rsidRPr="003C5911">
        <w:rPr>
          <w:rFonts w:eastAsia="Calibri"/>
          <w:color w:val="1F2933"/>
          <w:sz w:val="21"/>
          <w:szCs w:val="21"/>
        </w:rPr>
        <w:t>TMDb</w:t>
      </w:r>
      <w:proofErr w:type="spellEnd"/>
      <w:r w:rsidRPr="003C5911">
        <w:rPr>
          <w:rFonts w:eastAsia="Calibri"/>
          <w:color w:val="1F2933"/>
          <w:sz w:val="21"/>
          <w:szCs w:val="21"/>
        </w:rPr>
        <w:t xml:space="preserve"> 5000 Movie Dataset (4,803 films). I kept English-language films released 1990–2016 with a budget and worldwide revenue of at least $1M, leaving 2,515 films (271 sequels, 2,244 originals).</w:t>
      </w:r>
    </w:p>
    <w:p w14:paraId="261A2B72"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Defining a sequel: </w:t>
      </w:r>
      <w:r w:rsidRPr="003C5911">
        <w:rPr>
          <w:rFonts w:eastAsia="Calibri"/>
          <w:color w:val="1F2933"/>
          <w:sz w:val="21"/>
          <w:szCs w:val="21"/>
        </w:rPr>
        <w:t>the dataset has no sequel field, so I built one. Films were grouped into series by title (for example, Iron Man 1–3), plus a few manual franchise groups such as Harry Potter and The Fast and the Furious. The first-released film in a series is an original and every later installment is a sequel. Reboots, remakes and ambiguous title matches (21 films) were dropped.</w:t>
      </w:r>
    </w:p>
    <w:p w14:paraId="55017227"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Analysis: </w:t>
      </w:r>
      <w:r w:rsidRPr="003C5911">
        <w:rPr>
          <w:rFonts w:eastAsia="Calibri"/>
          <w:color w:val="1F2933"/>
          <w:sz w:val="21"/>
          <w:szCs w:val="21"/>
        </w:rPr>
        <w:t>revenue is heavily skewed, so I modeled log(revenue). Three regressions add controls step by step: budget and release year, then genre and release season (summer, holiday). A sequel coefficient b means revenue is (</w:t>
      </w:r>
      <w:proofErr w:type="spellStart"/>
      <w:r w:rsidRPr="003C5911">
        <w:rPr>
          <w:rFonts w:eastAsia="Calibri"/>
          <w:color w:val="1F2933"/>
          <w:sz w:val="21"/>
          <w:szCs w:val="21"/>
        </w:rPr>
        <w:t>e^b</w:t>
      </w:r>
      <w:proofErr w:type="spellEnd"/>
      <w:r w:rsidRPr="003C5911">
        <w:rPr>
          <w:rFonts w:eastAsia="Calibri"/>
          <w:color w:val="1F2933"/>
          <w:sz w:val="21"/>
          <w:szCs w:val="21"/>
        </w:rPr>
        <w:t xml:space="preserve"> − 1) higher.</w:t>
      </w:r>
    </w:p>
    <w:p w14:paraId="338535C9" w14:textId="77777777" w:rsidR="001D5F6B" w:rsidRPr="003C5911" w:rsidRDefault="00000000">
      <w:pPr>
        <w:keepNext/>
        <w:pBdr>
          <w:bottom w:val="single" w:sz="6" w:space="2" w:color="1F3A5F"/>
        </w:pBdr>
        <w:spacing w:before="200" w:after="80"/>
      </w:pPr>
      <w:r w:rsidRPr="003C5911">
        <w:rPr>
          <w:rFonts w:eastAsia="Calibri"/>
          <w:b/>
          <w:bCs/>
          <w:spacing w:val="30"/>
          <w:sz w:val="21"/>
          <w:szCs w:val="21"/>
        </w:rPr>
        <w:t>FINDINGS</w:t>
      </w:r>
    </w:p>
    <w:p w14:paraId="186D1DEA" w14:textId="77777777" w:rsidR="001D5F6B" w:rsidRPr="003C5911" w:rsidRDefault="00000000">
      <w:pPr>
        <w:spacing w:after="60"/>
        <w:jc w:val="center"/>
      </w:pPr>
      <w:r w:rsidRPr="003C5911">
        <w:rPr>
          <w:noProof/>
        </w:rPr>
        <w:drawing>
          <wp:inline distT="0" distB="0" distL="0" distR="0" wp14:anchorId="26AFAB2D" wp14:editId="36D19B19">
            <wp:extent cx="6096000" cy="2495550"/>
            <wp:effectExtent l="0" t="0" r="0" b="0"/>
            <wp:docPr id="1" name="fig1" descr="Box plot of revenue for originals vs sequels, and budget vs revenue scatter with fitted lines" title="Revenue by film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495550"/>
                    </a:xfrm>
                    <a:prstGeom prst="rect">
                      <a:avLst/>
                    </a:prstGeom>
                  </pic:spPr>
                </pic:pic>
              </a:graphicData>
            </a:graphic>
          </wp:inline>
        </w:drawing>
      </w:r>
    </w:p>
    <w:p w14:paraId="2D214ED5"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Sequels earn about 4× as much on the surface. </w:t>
      </w:r>
      <w:r w:rsidRPr="003C5911">
        <w:rPr>
          <w:rFonts w:eastAsia="Calibri"/>
          <w:color w:val="1F2933"/>
          <w:sz w:val="21"/>
          <w:szCs w:val="21"/>
        </w:rPr>
        <w:t xml:space="preserve">Median worldwide revenue was $240M for sequels versus $62M for originals (Mann–Whitney p &lt; 0.001). But sequels also cost more to </w:t>
      </w:r>
      <w:proofErr w:type="gramStart"/>
      <w:r w:rsidRPr="003C5911">
        <w:rPr>
          <w:rFonts w:eastAsia="Calibri"/>
          <w:color w:val="1F2933"/>
          <w:sz w:val="21"/>
          <w:szCs w:val="21"/>
        </w:rPr>
        <w:t>make:</w:t>
      </w:r>
      <w:proofErr w:type="gramEnd"/>
      <w:r w:rsidRPr="003C5911">
        <w:rPr>
          <w:rFonts w:eastAsia="Calibri"/>
          <w:color w:val="1F2933"/>
          <w:sz w:val="21"/>
          <w:szCs w:val="21"/>
        </w:rPr>
        <w:t xml:space="preserve"> median budget </w:t>
      </w:r>
      <w:proofErr w:type="gramStart"/>
      <w:r w:rsidRPr="003C5911">
        <w:rPr>
          <w:rFonts w:eastAsia="Calibri"/>
          <w:color w:val="1F2933"/>
          <w:sz w:val="21"/>
          <w:szCs w:val="21"/>
        </w:rPr>
        <w:t>$70</w:t>
      </w:r>
      <w:proofErr w:type="gramEnd"/>
      <w:r w:rsidRPr="003C5911">
        <w:rPr>
          <w:rFonts w:eastAsia="Calibri"/>
          <w:color w:val="1F2933"/>
          <w:sz w:val="21"/>
          <w:szCs w:val="21"/>
        </w:rPr>
        <w:t>M versus $30M.</w:t>
      </w:r>
    </w:p>
    <w:p w14:paraId="71DA1D63"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Most of the gap is budget, but not all of it. </w:t>
      </w:r>
      <w:r w:rsidRPr="003C5911">
        <w:rPr>
          <w:rFonts w:eastAsia="Calibri"/>
          <w:color w:val="1F2933"/>
          <w:sz w:val="21"/>
          <w:szCs w:val="21"/>
        </w:rPr>
        <w:t xml:space="preserve">After controlling </w:t>
      </w:r>
      <w:proofErr w:type="gramStart"/>
      <w:r w:rsidRPr="003C5911">
        <w:rPr>
          <w:rFonts w:eastAsia="Calibri"/>
          <w:color w:val="1F2933"/>
          <w:sz w:val="21"/>
          <w:szCs w:val="21"/>
        </w:rPr>
        <w:t>for</w:t>
      </w:r>
      <w:proofErr w:type="gramEnd"/>
      <w:r w:rsidRPr="003C5911">
        <w:rPr>
          <w:rFonts w:eastAsia="Calibri"/>
          <w:color w:val="1F2933"/>
          <w:sz w:val="21"/>
          <w:szCs w:val="21"/>
        </w:rPr>
        <w:t xml:space="preserve"> budget, release year, genre and season, sequels still earned about 79% more (95% CI +61% to +99%). Budget alone explains most of the variation: a 1% larger budget is associated with about 0.84% more revenue.</w:t>
      </w:r>
    </w:p>
    <w:p w14:paraId="57A66144"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The premium shows up at every budget level. </w:t>
      </w:r>
      <w:r w:rsidRPr="003C5911">
        <w:rPr>
          <w:rFonts w:eastAsia="Calibri"/>
          <w:color w:val="1F2933"/>
          <w:sz w:val="21"/>
          <w:szCs w:val="21"/>
        </w:rPr>
        <w:t>Median revenue for sequels was roughly 2× that of originals in the low-, mid- and high-budget thirds of films.</w:t>
      </w:r>
    </w:p>
    <w:p w14:paraId="24EE42C0"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Sequels are also safer bets. </w:t>
      </w:r>
      <w:r w:rsidRPr="003C5911">
        <w:rPr>
          <w:rFonts w:eastAsia="Calibri"/>
          <w:color w:val="1F2933"/>
          <w:sz w:val="21"/>
          <w:szCs w:val="21"/>
        </w:rPr>
        <w:t>94.5% of sequels earned more than their production budget, versus 74.7% of originals, and median revenue per budget dollar was 3.3× versus 2.1×. (Marketing costs are not in the data, so this overstates profit for both.)</w:t>
      </w:r>
    </w:p>
    <w:p w14:paraId="63837971" w14:textId="77777777" w:rsidR="001D5F6B" w:rsidRPr="003C5911" w:rsidRDefault="00000000">
      <w:pPr>
        <w:pStyle w:val="ListParagraph"/>
        <w:numPr>
          <w:ilvl w:val="0"/>
          <w:numId w:val="2"/>
        </w:numPr>
        <w:spacing w:after="50" w:line="264" w:lineRule="auto"/>
      </w:pPr>
      <w:r w:rsidRPr="003C5911">
        <w:rPr>
          <w:rFonts w:eastAsia="Calibri"/>
          <w:b/>
          <w:bCs/>
          <w:color w:val="1F2933"/>
          <w:sz w:val="21"/>
          <w:szCs w:val="21"/>
        </w:rPr>
        <w:t xml:space="preserve">Other drivers: </w:t>
      </w:r>
      <w:r w:rsidRPr="003C5911">
        <w:rPr>
          <w:rFonts w:eastAsia="Calibri"/>
          <w:color w:val="1F2933"/>
          <w:sz w:val="21"/>
          <w:szCs w:val="21"/>
        </w:rPr>
        <w:t>summer (+41%) and holiday (+35%) releases earn more than other months, and horror films outperform drama (+74%) at the same budget. Sequels also became more common over time: 6.9% of films in 1990–2002 versus 12.6% in 2003–2016.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3000"/>
        <w:gridCol w:w="2580"/>
      </w:tblGrid>
      <w:tr w:rsidR="001D5F6B" w:rsidRPr="003C5911" w14:paraId="0B3FEAF0" w14:textId="77777777" w:rsidTr="003C5911">
        <w:tblPrEx>
          <w:tblCellMar>
            <w:top w:w="0" w:type="dxa"/>
            <w:bottom w:w="0" w:type="dxa"/>
          </w:tblCellMar>
        </w:tblPrEx>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45D6DF02" w14:textId="77777777" w:rsidR="001D5F6B" w:rsidRPr="003C5911" w:rsidRDefault="00000000">
            <w:pPr>
              <w:keepNext/>
            </w:pPr>
            <w:r w:rsidRPr="003C5911">
              <w:rPr>
                <w:rFonts w:eastAsia="Calibri"/>
                <w:b/>
                <w:bCs/>
                <w:sz w:val="19"/>
                <w:szCs w:val="19"/>
              </w:rPr>
              <w:lastRenderedPageBreak/>
              <w:t>Model</w:t>
            </w:r>
          </w:p>
        </w:tc>
        <w:tc>
          <w:tcPr>
            <w:tcW w:w="15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5F362C56" w14:textId="77777777" w:rsidR="001D5F6B" w:rsidRPr="003C5911" w:rsidRDefault="00000000">
            <w:pPr>
              <w:keepNext/>
            </w:pPr>
            <w:r w:rsidRPr="003C5911">
              <w:rPr>
                <w:rFonts w:eastAsia="Calibri"/>
                <w:b/>
                <w:bCs/>
                <w:sz w:val="19"/>
                <w:szCs w:val="19"/>
              </w:rPr>
              <w:t>R²</w:t>
            </w:r>
          </w:p>
        </w:tc>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3C4FCC90" w14:textId="77777777" w:rsidR="001D5F6B" w:rsidRPr="003C5911" w:rsidRDefault="00000000">
            <w:pPr>
              <w:keepNext/>
            </w:pPr>
            <w:r w:rsidRPr="003C5911">
              <w:rPr>
                <w:rFonts w:eastAsia="Calibri"/>
                <w:b/>
                <w:bCs/>
                <w:sz w:val="19"/>
                <w:szCs w:val="19"/>
              </w:rPr>
              <w:t>Sequel effect on revenue</w:t>
            </w:r>
          </w:p>
        </w:tc>
        <w:tc>
          <w:tcPr>
            <w:tcW w:w="258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5C678AAD" w14:textId="77777777" w:rsidR="001D5F6B" w:rsidRPr="003C5911" w:rsidRDefault="00000000">
            <w:pPr>
              <w:keepNext/>
            </w:pPr>
            <w:r w:rsidRPr="003C5911">
              <w:rPr>
                <w:rFonts w:eastAsia="Calibri"/>
                <w:b/>
                <w:bCs/>
                <w:sz w:val="19"/>
                <w:szCs w:val="19"/>
              </w:rPr>
              <w:t>95% confidence interval</w:t>
            </w:r>
          </w:p>
        </w:tc>
      </w:tr>
      <w:tr w:rsidR="001D5F6B" w:rsidRPr="003C5911" w14:paraId="0A037724" w14:textId="77777777" w:rsidTr="003C5911">
        <w:tblPrEx>
          <w:tblCellMar>
            <w:top w:w="0" w:type="dxa"/>
            <w:bottom w:w="0" w:type="dxa"/>
          </w:tblCellMar>
        </w:tblPrEx>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2E24B5BB" w14:textId="77777777" w:rsidR="001D5F6B" w:rsidRPr="003C5911" w:rsidRDefault="00000000">
            <w:pPr>
              <w:keepNext/>
            </w:pPr>
            <w:r w:rsidRPr="003C5911">
              <w:rPr>
                <w:rFonts w:eastAsia="Calibri"/>
                <w:sz w:val="19"/>
                <w:szCs w:val="19"/>
              </w:rPr>
              <w:t>1. Sequel only</w:t>
            </w:r>
          </w:p>
        </w:tc>
        <w:tc>
          <w:tcPr>
            <w:tcW w:w="15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515C97C8" w14:textId="77777777" w:rsidR="001D5F6B" w:rsidRPr="003C5911" w:rsidRDefault="00000000">
            <w:pPr>
              <w:keepNext/>
            </w:pPr>
            <w:r w:rsidRPr="003C5911">
              <w:rPr>
                <w:rFonts w:eastAsia="Calibri"/>
                <w:sz w:val="19"/>
                <w:szCs w:val="19"/>
              </w:rPr>
              <w:t>0.09</w:t>
            </w:r>
          </w:p>
        </w:tc>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6837AD1E" w14:textId="77777777" w:rsidR="001D5F6B" w:rsidRPr="003C5911" w:rsidRDefault="00000000">
            <w:pPr>
              <w:keepNext/>
            </w:pPr>
            <w:r w:rsidRPr="003C5911">
              <w:rPr>
                <w:rFonts w:eastAsia="Calibri"/>
                <w:sz w:val="19"/>
                <w:szCs w:val="19"/>
              </w:rPr>
              <w:t>+274%</w:t>
            </w:r>
          </w:p>
        </w:tc>
        <w:tc>
          <w:tcPr>
            <w:tcW w:w="258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3AF95375" w14:textId="77777777" w:rsidR="001D5F6B" w:rsidRPr="003C5911" w:rsidRDefault="00000000">
            <w:pPr>
              <w:keepNext/>
            </w:pPr>
            <w:r w:rsidRPr="003C5911">
              <w:rPr>
                <w:rFonts w:eastAsia="Calibri"/>
                <w:sz w:val="19"/>
                <w:szCs w:val="19"/>
              </w:rPr>
              <w:t>+216% to +342%</w:t>
            </w:r>
          </w:p>
        </w:tc>
      </w:tr>
      <w:tr w:rsidR="001D5F6B" w:rsidRPr="003C5911" w14:paraId="343D3936" w14:textId="77777777" w:rsidTr="003C5911">
        <w:tblPrEx>
          <w:tblCellMar>
            <w:top w:w="0" w:type="dxa"/>
            <w:bottom w:w="0" w:type="dxa"/>
          </w:tblCellMar>
        </w:tblPrEx>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41FE4611" w14:textId="77777777" w:rsidR="001D5F6B" w:rsidRPr="003C5911" w:rsidRDefault="00000000">
            <w:pPr>
              <w:keepNext/>
            </w:pPr>
            <w:r w:rsidRPr="003C5911">
              <w:rPr>
                <w:rFonts w:eastAsia="Calibri"/>
                <w:sz w:val="19"/>
                <w:szCs w:val="19"/>
              </w:rPr>
              <w:t>2. + budget and release year</w:t>
            </w:r>
          </w:p>
        </w:tc>
        <w:tc>
          <w:tcPr>
            <w:tcW w:w="15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52D2D789" w14:textId="77777777" w:rsidR="001D5F6B" w:rsidRPr="003C5911" w:rsidRDefault="00000000">
            <w:pPr>
              <w:keepNext/>
            </w:pPr>
            <w:r w:rsidRPr="003C5911">
              <w:rPr>
                <w:rFonts w:eastAsia="Calibri"/>
                <w:sz w:val="19"/>
                <w:szCs w:val="19"/>
              </w:rPr>
              <w:t>0.46</w:t>
            </w:r>
          </w:p>
        </w:tc>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7DA3890B" w14:textId="77777777" w:rsidR="001D5F6B" w:rsidRPr="003C5911" w:rsidRDefault="00000000">
            <w:pPr>
              <w:keepNext/>
            </w:pPr>
            <w:r w:rsidRPr="003C5911">
              <w:rPr>
                <w:rFonts w:eastAsia="Calibri"/>
                <w:sz w:val="19"/>
                <w:szCs w:val="19"/>
              </w:rPr>
              <w:t>+97%</w:t>
            </w:r>
          </w:p>
        </w:tc>
        <w:tc>
          <w:tcPr>
            <w:tcW w:w="258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05CD68E1" w14:textId="77777777" w:rsidR="001D5F6B" w:rsidRPr="003C5911" w:rsidRDefault="00000000">
            <w:pPr>
              <w:keepNext/>
            </w:pPr>
            <w:r w:rsidRPr="003C5911">
              <w:rPr>
                <w:rFonts w:eastAsia="Calibri"/>
                <w:sz w:val="19"/>
                <w:szCs w:val="19"/>
              </w:rPr>
              <w:t>+72% to +125%</w:t>
            </w:r>
          </w:p>
        </w:tc>
      </w:tr>
      <w:tr w:rsidR="001D5F6B" w:rsidRPr="003C5911" w14:paraId="11F7AB84" w14:textId="77777777" w:rsidTr="003C5911">
        <w:tblPrEx>
          <w:tblCellMar>
            <w:top w:w="0" w:type="dxa"/>
            <w:bottom w:w="0" w:type="dxa"/>
          </w:tblCellMar>
        </w:tblPrEx>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2BC88C4F" w14:textId="77777777" w:rsidR="001D5F6B" w:rsidRPr="003C5911" w:rsidRDefault="00000000">
            <w:pPr>
              <w:keepNext/>
            </w:pPr>
            <w:r w:rsidRPr="003C5911">
              <w:rPr>
                <w:rFonts w:eastAsia="Calibri"/>
                <w:sz w:val="19"/>
                <w:szCs w:val="19"/>
              </w:rPr>
              <w:t>3. + genre and release season</w:t>
            </w:r>
          </w:p>
        </w:tc>
        <w:tc>
          <w:tcPr>
            <w:tcW w:w="15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47BB754F" w14:textId="77777777" w:rsidR="001D5F6B" w:rsidRPr="003C5911" w:rsidRDefault="00000000">
            <w:pPr>
              <w:keepNext/>
            </w:pPr>
            <w:r w:rsidRPr="003C5911">
              <w:rPr>
                <w:rFonts w:eastAsia="Calibri"/>
                <w:sz w:val="19"/>
                <w:szCs w:val="19"/>
              </w:rPr>
              <w:t>0.48</w:t>
            </w:r>
          </w:p>
        </w:tc>
        <w:tc>
          <w:tcPr>
            <w:tcW w:w="300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7D9043E4" w14:textId="77777777" w:rsidR="001D5F6B" w:rsidRPr="003C5911" w:rsidRDefault="00000000">
            <w:pPr>
              <w:keepNext/>
            </w:pPr>
            <w:r w:rsidRPr="003C5911">
              <w:rPr>
                <w:rFonts w:eastAsia="Calibri"/>
                <w:sz w:val="19"/>
                <w:szCs w:val="19"/>
              </w:rPr>
              <w:t>+79%</w:t>
            </w:r>
          </w:p>
        </w:tc>
        <w:tc>
          <w:tcPr>
            <w:tcW w:w="2580" w:type="dxa"/>
            <w:tcBorders>
              <w:top w:val="single" w:sz="4" w:space="0" w:color="D5DBE1"/>
              <w:left w:val="single" w:sz="4" w:space="0" w:color="D5DBE1"/>
              <w:bottom w:val="single" w:sz="4" w:space="0" w:color="D5DBE1"/>
              <w:right w:val="single" w:sz="4" w:space="0" w:color="D5DBE1"/>
            </w:tcBorders>
            <w:tcMar>
              <w:top w:w="60" w:type="dxa"/>
              <w:left w:w="100" w:type="dxa"/>
              <w:bottom w:w="60" w:type="dxa"/>
              <w:right w:w="100" w:type="dxa"/>
            </w:tcMar>
          </w:tcPr>
          <w:p w14:paraId="22898D1F" w14:textId="77777777" w:rsidR="001D5F6B" w:rsidRPr="003C5911" w:rsidRDefault="00000000">
            <w:pPr>
              <w:keepNext/>
            </w:pPr>
            <w:r w:rsidRPr="003C5911">
              <w:rPr>
                <w:rFonts w:eastAsia="Calibri"/>
                <w:sz w:val="19"/>
                <w:szCs w:val="19"/>
              </w:rPr>
              <w:t>+61% to +99% (robust SEs)</w:t>
            </w:r>
          </w:p>
        </w:tc>
      </w:tr>
    </w:tbl>
    <w:p w14:paraId="657BA4D8" w14:textId="77777777" w:rsidR="001D5F6B" w:rsidRPr="003C5911" w:rsidRDefault="00000000">
      <w:pPr>
        <w:spacing w:before="60" w:after="80"/>
      </w:pPr>
      <w:r w:rsidRPr="003C5911">
        <w:rPr>
          <w:rFonts w:eastAsia="Calibri"/>
          <w:i/>
          <w:iCs/>
          <w:sz w:val="18"/>
          <w:szCs w:val="18"/>
        </w:rPr>
        <w:t>Sequel effect on revenue under each model. Model 3 uses heteroskedasticity-robust (HC3) standard errors.</w:t>
      </w:r>
    </w:p>
    <w:p w14:paraId="536FCDA8" w14:textId="77777777" w:rsidR="001D5F6B" w:rsidRPr="003C5911" w:rsidRDefault="00000000">
      <w:pPr>
        <w:keepNext/>
        <w:pBdr>
          <w:bottom w:val="single" w:sz="6" w:space="2" w:color="1F3A5F"/>
        </w:pBdr>
        <w:spacing w:before="200" w:after="80"/>
      </w:pPr>
      <w:r w:rsidRPr="003C5911">
        <w:rPr>
          <w:rFonts w:eastAsia="Calibri"/>
          <w:b/>
          <w:bCs/>
          <w:spacing w:val="30"/>
          <w:sz w:val="21"/>
          <w:szCs w:val="21"/>
        </w:rPr>
        <w:t>MODEL CHECKS AND LIMITATIONS</w:t>
      </w:r>
    </w:p>
    <w:p w14:paraId="0331820C" w14:textId="77777777" w:rsidR="001D5F6B" w:rsidRPr="003C5911" w:rsidRDefault="00000000">
      <w:pPr>
        <w:pStyle w:val="ListParagraph"/>
        <w:numPr>
          <w:ilvl w:val="0"/>
          <w:numId w:val="2"/>
        </w:numPr>
        <w:spacing w:after="50" w:line="264" w:lineRule="auto"/>
      </w:pPr>
      <w:r w:rsidRPr="003C5911">
        <w:rPr>
          <w:rFonts w:eastAsia="Calibri"/>
          <w:b/>
          <w:bCs/>
          <w:sz w:val="21"/>
          <w:szCs w:val="21"/>
        </w:rPr>
        <w:t xml:space="preserve">Fit and overfitting: </w:t>
      </w:r>
      <w:r w:rsidRPr="003C5911">
        <w:rPr>
          <w:rFonts w:eastAsia="Calibri"/>
          <w:sz w:val="21"/>
          <w:szCs w:val="21"/>
        </w:rPr>
        <w:t>Model 3 explains 48% of the variation in log revenue. On an 80/20 train/test split, test R² was 0.45 and test RMSE 0.99 versus 1.01 on training data, so the model is not overfitting.</w:t>
      </w:r>
    </w:p>
    <w:p w14:paraId="1D56BBF0" w14:textId="77777777" w:rsidR="001D5F6B" w:rsidRPr="003C5911" w:rsidRDefault="00000000">
      <w:pPr>
        <w:pStyle w:val="ListParagraph"/>
        <w:numPr>
          <w:ilvl w:val="0"/>
          <w:numId w:val="2"/>
        </w:numPr>
        <w:spacing w:after="50" w:line="264" w:lineRule="auto"/>
      </w:pPr>
      <w:r w:rsidRPr="003C5911">
        <w:rPr>
          <w:rFonts w:eastAsia="Calibri"/>
          <w:b/>
          <w:bCs/>
          <w:sz w:val="21"/>
          <w:szCs w:val="21"/>
        </w:rPr>
        <w:t xml:space="preserve">Assumptions: </w:t>
      </w:r>
      <w:r w:rsidRPr="003C5911">
        <w:rPr>
          <w:rFonts w:eastAsia="Calibri"/>
          <w:sz w:val="21"/>
          <w:szCs w:val="21"/>
        </w:rPr>
        <w:t>predictors were not collinear (all VIFs below 1.1) and no film had undue influence (largest Cook’s distance 0.009). Residual variance was uneven (Breusch–Pagan p &lt; 0.001), so I report robust standard errors; the sequel result is unchanged.</w:t>
      </w:r>
    </w:p>
    <w:p w14:paraId="237494CC" w14:textId="77777777" w:rsidR="001D5F6B" w:rsidRPr="003C5911" w:rsidRDefault="00000000">
      <w:pPr>
        <w:pStyle w:val="ListParagraph"/>
        <w:numPr>
          <w:ilvl w:val="0"/>
          <w:numId w:val="2"/>
        </w:numPr>
        <w:spacing w:after="50" w:line="264" w:lineRule="auto"/>
      </w:pPr>
      <w:r w:rsidRPr="003C5911">
        <w:rPr>
          <w:rFonts w:eastAsia="Calibri"/>
          <w:b/>
          <w:bCs/>
          <w:sz w:val="21"/>
          <w:szCs w:val="21"/>
        </w:rPr>
        <w:t xml:space="preserve">Limits: </w:t>
      </w:r>
      <w:r w:rsidRPr="003C5911">
        <w:rPr>
          <w:rFonts w:eastAsia="Calibri"/>
          <w:sz w:val="21"/>
          <w:szCs w:val="21"/>
        </w:rPr>
        <w:t>this shows association, not cause. Sequel status is my own classification, revenue is in nominal dollars (release year partly adjusts for inflation), the data ends in 2016, and sequels benefit from built-in audiences that a regression cannot separate from film quality.</w:t>
      </w:r>
    </w:p>
    <w:p w14:paraId="4A7D1FD7" w14:textId="77777777" w:rsidR="001D5F6B" w:rsidRPr="003C5911" w:rsidRDefault="00000000">
      <w:pPr>
        <w:keepNext/>
        <w:pBdr>
          <w:bottom w:val="single" w:sz="6" w:space="2" w:color="1F3A5F"/>
        </w:pBdr>
        <w:spacing w:before="200" w:after="80"/>
      </w:pPr>
      <w:r w:rsidRPr="003C5911">
        <w:rPr>
          <w:rFonts w:eastAsia="Calibri"/>
          <w:b/>
          <w:bCs/>
          <w:spacing w:val="30"/>
          <w:sz w:val="21"/>
          <w:szCs w:val="21"/>
        </w:rPr>
        <w:t>FILES</w:t>
      </w:r>
    </w:p>
    <w:p w14:paraId="3D3B4AC1" w14:textId="77777777" w:rsidR="001D5F6B" w:rsidRPr="003C5911" w:rsidRDefault="00000000">
      <w:pPr>
        <w:spacing w:after="100" w:line="264" w:lineRule="auto"/>
      </w:pPr>
      <w:proofErr w:type="spellStart"/>
      <w:r w:rsidRPr="003C5911">
        <w:rPr>
          <w:rFonts w:eastAsia="Calibri"/>
          <w:b/>
          <w:bCs/>
          <w:sz w:val="21"/>
          <w:szCs w:val="21"/>
        </w:rPr>
        <w:t>movie_box_office_</w:t>
      </w:r>
      <w:proofErr w:type="gramStart"/>
      <w:r w:rsidRPr="003C5911">
        <w:rPr>
          <w:rFonts w:eastAsia="Calibri"/>
          <w:b/>
          <w:bCs/>
          <w:sz w:val="21"/>
          <w:szCs w:val="21"/>
        </w:rPr>
        <w:t>analysis.R</w:t>
      </w:r>
      <w:proofErr w:type="spellEnd"/>
      <w:proofErr w:type="gramEnd"/>
      <w:r w:rsidRPr="003C5911">
        <w:rPr>
          <w:rFonts w:eastAsia="Calibri"/>
          <w:sz w:val="21"/>
          <w:szCs w:val="21"/>
        </w:rPr>
        <w:t xml:space="preserve"> (full analysis script), </w:t>
      </w:r>
      <w:r w:rsidRPr="003C5911">
        <w:rPr>
          <w:rFonts w:eastAsia="Calibri"/>
          <w:b/>
          <w:bCs/>
          <w:sz w:val="21"/>
          <w:szCs w:val="21"/>
        </w:rPr>
        <w:t>movie_analysis_data.csv</w:t>
      </w:r>
      <w:r w:rsidRPr="003C5911">
        <w:rPr>
          <w:rFonts w:eastAsia="Calibri"/>
          <w:sz w:val="21"/>
          <w:szCs w:val="21"/>
        </w:rPr>
        <w:t xml:space="preserve"> (cleaned data with the sequel flag), and the figure above.</w:t>
      </w:r>
    </w:p>
    <w:sectPr w:rsidR="001D5F6B" w:rsidRPr="003C5911">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11885"/>
    <w:multiLevelType w:val="hybridMultilevel"/>
    <w:tmpl w:val="BAE2E918"/>
    <w:lvl w:ilvl="0" w:tplc="C0E4A00E">
      <w:start w:val="1"/>
      <w:numFmt w:val="bullet"/>
      <w:lvlText w:val="•"/>
      <w:lvlJc w:val="left"/>
      <w:pPr>
        <w:ind w:left="300" w:hanging="200"/>
      </w:pPr>
      <w:rPr>
        <w:color w:val="1F3A5F"/>
      </w:rPr>
    </w:lvl>
    <w:lvl w:ilvl="1" w:tplc="CA084B62">
      <w:numFmt w:val="decimal"/>
      <w:lvlText w:val=""/>
      <w:lvlJc w:val="left"/>
    </w:lvl>
    <w:lvl w:ilvl="2" w:tplc="6F9C198C">
      <w:numFmt w:val="decimal"/>
      <w:lvlText w:val=""/>
      <w:lvlJc w:val="left"/>
    </w:lvl>
    <w:lvl w:ilvl="3" w:tplc="71B0FC9E">
      <w:numFmt w:val="decimal"/>
      <w:lvlText w:val=""/>
      <w:lvlJc w:val="left"/>
    </w:lvl>
    <w:lvl w:ilvl="4" w:tplc="FBA48E1E">
      <w:numFmt w:val="decimal"/>
      <w:lvlText w:val=""/>
      <w:lvlJc w:val="left"/>
    </w:lvl>
    <w:lvl w:ilvl="5" w:tplc="8266080E">
      <w:numFmt w:val="decimal"/>
      <w:lvlText w:val=""/>
      <w:lvlJc w:val="left"/>
    </w:lvl>
    <w:lvl w:ilvl="6" w:tplc="74F4391E">
      <w:numFmt w:val="decimal"/>
      <w:lvlText w:val=""/>
      <w:lvlJc w:val="left"/>
    </w:lvl>
    <w:lvl w:ilvl="7" w:tplc="AD9005D6">
      <w:numFmt w:val="decimal"/>
      <w:lvlText w:val=""/>
      <w:lvlJc w:val="left"/>
    </w:lvl>
    <w:lvl w:ilvl="8" w:tplc="3E885AF4">
      <w:numFmt w:val="decimal"/>
      <w:lvlText w:val=""/>
      <w:lvlJc w:val="left"/>
    </w:lvl>
  </w:abstractNum>
  <w:abstractNum w:abstractNumId="1" w15:restartNumberingAfterBreak="0">
    <w:nsid w:val="7AC7766C"/>
    <w:multiLevelType w:val="hybridMultilevel"/>
    <w:tmpl w:val="2EF0F69E"/>
    <w:lvl w:ilvl="0" w:tplc="CE54F5A6">
      <w:start w:val="1"/>
      <w:numFmt w:val="bullet"/>
      <w:lvlText w:val="●"/>
      <w:lvlJc w:val="left"/>
      <w:pPr>
        <w:ind w:left="720" w:hanging="360"/>
      </w:pPr>
    </w:lvl>
    <w:lvl w:ilvl="1" w:tplc="7D50E470">
      <w:start w:val="1"/>
      <w:numFmt w:val="bullet"/>
      <w:lvlText w:val="○"/>
      <w:lvlJc w:val="left"/>
      <w:pPr>
        <w:ind w:left="1440" w:hanging="360"/>
      </w:pPr>
    </w:lvl>
    <w:lvl w:ilvl="2" w:tplc="3120E65A">
      <w:start w:val="1"/>
      <w:numFmt w:val="bullet"/>
      <w:lvlText w:val="■"/>
      <w:lvlJc w:val="left"/>
      <w:pPr>
        <w:ind w:left="2160" w:hanging="360"/>
      </w:pPr>
    </w:lvl>
    <w:lvl w:ilvl="3" w:tplc="A58EDCE0">
      <w:start w:val="1"/>
      <w:numFmt w:val="bullet"/>
      <w:lvlText w:val="●"/>
      <w:lvlJc w:val="left"/>
      <w:pPr>
        <w:ind w:left="2880" w:hanging="360"/>
      </w:pPr>
    </w:lvl>
    <w:lvl w:ilvl="4" w:tplc="07B86968">
      <w:start w:val="1"/>
      <w:numFmt w:val="bullet"/>
      <w:lvlText w:val="○"/>
      <w:lvlJc w:val="left"/>
      <w:pPr>
        <w:ind w:left="3600" w:hanging="360"/>
      </w:pPr>
    </w:lvl>
    <w:lvl w:ilvl="5" w:tplc="584E030C">
      <w:start w:val="1"/>
      <w:numFmt w:val="bullet"/>
      <w:lvlText w:val="■"/>
      <w:lvlJc w:val="left"/>
      <w:pPr>
        <w:ind w:left="4320" w:hanging="360"/>
      </w:pPr>
    </w:lvl>
    <w:lvl w:ilvl="6" w:tplc="27E84D90">
      <w:start w:val="1"/>
      <w:numFmt w:val="bullet"/>
      <w:lvlText w:val="●"/>
      <w:lvlJc w:val="left"/>
      <w:pPr>
        <w:ind w:left="5040" w:hanging="360"/>
      </w:pPr>
    </w:lvl>
    <w:lvl w:ilvl="7" w:tplc="20E68806">
      <w:start w:val="1"/>
      <w:numFmt w:val="bullet"/>
      <w:lvlText w:val="●"/>
      <w:lvlJc w:val="left"/>
      <w:pPr>
        <w:ind w:left="5760" w:hanging="360"/>
      </w:pPr>
    </w:lvl>
    <w:lvl w:ilvl="8" w:tplc="CF428C92">
      <w:start w:val="1"/>
      <w:numFmt w:val="bullet"/>
      <w:lvlText w:val="●"/>
      <w:lvlJc w:val="left"/>
      <w:pPr>
        <w:ind w:left="6480" w:hanging="360"/>
      </w:pPr>
    </w:lvl>
  </w:abstractNum>
  <w:num w:numId="1" w16cid:durableId="780300080">
    <w:abstractNumId w:val="1"/>
    <w:lvlOverride w:ilvl="0">
      <w:startOverride w:val="1"/>
    </w:lvlOverride>
  </w:num>
  <w:num w:numId="2" w16cid:durableId="1821459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6B"/>
    <w:rsid w:val="001D5F6B"/>
    <w:rsid w:val="003C5911"/>
    <w:rsid w:val="004F0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9C64"/>
  <w15:docId w15:val="{916D9EF4-B8C9-4443-BE5F-A0C0A4D2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557</Words>
  <Characters>3179</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Azim Tashpulatov</cp:lastModifiedBy>
  <cp:revision>2</cp:revision>
  <dcterms:created xsi:type="dcterms:W3CDTF">2026-10-13T22:37:00Z</dcterms:created>
  <dcterms:modified xsi:type="dcterms:W3CDTF">2026-10-13T22:55:00Z</dcterms:modified>
</cp:coreProperties>
</file>