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8"/>
        </w:rPr>
        <w:t>POLICY REVIEW &amp; COMPLIANCE FRAMEWORK ANALYSIS</w:t>
      </w:r>
    </w:p>
    <w:p>
      <w:pPr>
        <w:jc w:val="center"/>
      </w:pPr>
      <w:r>
        <w:rPr>
          <w:i/>
          <w:sz w:val="24"/>
        </w:rPr>
        <w:t>Cybersecurity for E-Governance and Digital Public Services</w:t>
      </w:r>
    </w:p>
    <w:p>
      <w:r>
        <w:t>Prepared as an academic policy review report | India-focused review</w:t>
      </w:r>
    </w:p>
    <w:p>
      <w:pPr>
        <w:pStyle w:val="Heading1"/>
      </w:pPr>
      <w:r>
        <w:t>1. Executive Summary</w:t>
      </w:r>
    </w:p>
    <w:p>
      <w:r>
        <w:t>Digital public services allow citizens to access certificates, welfare schemes, tax services, payments and other government facilities online. These services improve convenience and reach, but they also create risks involving personal information, account compromise, ransomware, service disruption, unsafe software and third-party suppliers. This report reviews key Indian cybersecurity guidance relevant to e-governance, identifies implementation gaps that a public-service organisation should assess, and proposes a practical compliance framework. The review focuses on CERT-In’s Guidelines on Information Security Practices for Government Entities (2023), CERT-In’s cyber-incident directions (2022), and the Guidelines for Indian Government Websites and Apps (GIGW 3.0). It also notes the Digital Personal Data Protection Act, 2023, while recognising that commencement and applicable obligations must be checked against current government notifications. The central recommendation is to move from policy documents alone to measurable, risk-based implementation: assign accountable owners, classify data, enforce strong access controls, test systems before release, retain and monitor logs, rehearse incident response, audit suppliers, and track corrective actions to closure.</w:t>
      </w:r>
    </w:p>
    <w:p>
      <w:pPr>
        <w:pStyle w:val="Heading1"/>
      </w:pPr>
      <w:r>
        <w:t>2. Scope and Method</w:t>
      </w:r>
    </w:p>
    <w:p>
      <w:r>
        <w:t>This is a desk-based review using publicly available Indian government and cybersecurity sources. It is not a legal opinion, a formal audit, or a claim that any particular department is non-compliant. Since no specific department or portal was supplied, the gap analysis below identifies common risks to verify during an organisation-specific assessment. Applicability of each law, direction and guideline depends on the organisation, service, data and current notifications.</w:t>
      </w:r>
    </w:p>
    <w:p>
      <w:pPr>
        <w:pStyle w:val="Heading1"/>
      </w:pPr>
      <w:r>
        <w:t>3. Existing Policy and Guidance Landscape</w:t>
      </w:r>
    </w:p>
    <w:p>
      <w:pPr>
        <w:pStyle w:val="Heading2"/>
      </w:pPr>
      <w:r>
        <w:t>3.1 CERT-In government information-security guidelines</w:t>
      </w:r>
    </w:p>
    <w:p>
      <w:r>
        <w:t>CERT-In’s 2023 Guidelines on Information Security Practices for Government Entities provide a baseline for government organisations. Their subject areas include network security, identity and access management, application security, data security, third-party outsourcing, system hardening, security monitoring, incident management and security auditing. These topics support a lifecycle approach: understand assets and risks, implement controls, monitor their effectiveness, and correct weaknesses. Each department should map applicable guideline requirements to evidence such as approved policies, access reviews, audit reports, training records and incident exercises.</w:t>
      </w:r>
    </w:p>
    <w:p>
      <w:pPr>
        <w:pStyle w:val="Heading2"/>
      </w:pPr>
      <w:r>
        <w:t>3.2 CERT-In cyber-incident directions</w:t>
      </w:r>
    </w:p>
    <w:p>
      <w:r>
        <w:t>CERT-In’s directions dated 28 April 2022 address incident reporting, system-clock synchronisation and maintenance of logs, among other matters. The directions include a six-hour reporting requirement for specified cyber incidents and require covered entities to maintain ICT logs securely for a rolling period of 180 days within Indian jurisdiction. Organisations should consult the current directions and official FAQs to determine scope, reporting procedure and the details applicable to their systems. Operationally, a written incident plan should identify who detects, classifies, escalates, preserves evidence and communicates with CERT-In.</w:t>
      </w:r>
    </w:p>
    <w:p>
      <w:pPr>
        <w:pStyle w:val="Heading2"/>
      </w:pPr>
      <w:r>
        <w:t>3.3 Guidelines for Indian Government Websites and Apps (GIGW 3.0)</w:t>
      </w:r>
    </w:p>
    <w:p>
      <w:r>
        <w:t>GIGW 3.0 addresses the quality, accessibility, security and lifecycle management of government websites and applications. Its cybersecurity guidance calls for security assessment before production hosting, appropriate security and privacy policies, contingency planning and attention to recognised secure-development practices. A portal should not be considered secure merely because it is online or visually functional: it needs documented ownership, testing, maintenance, monitoring and a controlled release process.</w:t>
      </w:r>
    </w:p>
    <w:p>
      <w:pPr>
        <w:pStyle w:val="Heading2"/>
      </w:pPr>
      <w:r>
        <w:t>3.4 Personal-data protection and related requirements</w:t>
      </w:r>
    </w:p>
    <w:p>
      <w:r>
        <w:t>The Digital Personal Data Protection Act, 2023 establishes a legal framework for processing digital personal data. Organisations should assess its applicability and the commencement of relevant provisions and rules through official notifications. In parallel, they should apply privacy-by-design principles: collect only data needed for a stated purpose, restrict access, set retention periods, protect data in transit and at rest, and provide clear notices and channels for citizen queries where required.</w:t>
      </w:r>
    </w:p>
    <w:p>
      <w:pPr>
        <w:pStyle w:val="Heading1"/>
      </w:pPr>
      <w:r>
        <w:t>4. Risk and Gap Analysis</w:t>
      </w:r>
    </w:p>
    <w:p>
      <w:r>
        <w:t>The following are potential gaps to test through interviews, document review, configuration checks and technical audit. They are not findings about a named organisation.</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Area</w:t>
            </w:r>
          </w:p>
        </w:tc>
        <w:tc>
          <w:tcPr>
            <w:tcW w:type="dxa" w:w="3264"/>
          </w:tcPr>
          <w:p>
            <w:r>
              <w:t>Possible gap / risk</w:t>
            </w:r>
          </w:p>
        </w:tc>
        <w:tc>
          <w:tcPr>
            <w:tcW w:type="dxa" w:w="3264"/>
          </w:tcPr>
          <w:p>
            <w:r>
              <w:t>Evidence and improvement</w:t>
            </w:r>
          </w:p>
        </w:tc>
      </w:tr>
      <w:tr>
        <w:tc>
          <w:tcPr>
            <w:tcW w:type="dxa" w:w="3264"/>
          </w:tcPr>
          <w:p>
            <w:r>
              <w:t>Governance and ownership</w:t>
            </w:r>
          </w:p>
        </w:tc>
        <w:tc>
          <w:tcPr>
            <w:tcW w:type="dxa" w:w="3264"/>
          </w:tcPr>
          <w:p>
            <w:r>
              <w:t>Policies may be outdated, unapproved or have no clear owner.</w:t>
            </w:r>
          </w:p>
        </w:tc>
        <w:tc>
          <w:tcPr>
            <w:tcW w:type="dxa" w:w="3264"/>
          </w:tcPr>
          <w:p>
            <w:r>
              <w:t>Maintain an approved policy register, name control owners, set review dates and report exceptions to senior management.</w:t>
            </w:r>
          </w:p>
        </w:tc>
      </w:tr>
      <w:tr>
        <w:tc>
          <w:tcPr>
            <w:tcW w:type="dxa" w:w="3264"/>
          </w:tcPr>
          <w:p>
            <w:r>
              <w:t>Identity and access</w:t>
            </w:r>
          </w:p>
        </w:tc>
        <w:tc>
          <w:tcPr>
            <w:tcW w:type="dxa" w:w="3264"/>
          </w:tcPr>
          <w:p>
            <w:r>
              <w:t>Shared accounts, excessive privileges or weak authentication can expose citizen records.</w:t>
            </w:r>
          </w:p>
        </w:tc>
        <w:tc>
          <w:tcPr>
            <w:tcW w:type="dxa" w:w="3264"/>
          </w:tcPr>
          <w:p>
            <w:r>
              <w:t>Use unique accounts, multi-factor authentication for privileged and remote access, least privilege and quarterly access reviews.</w:t>
            </w:r>
          </w:p>
        </w:tc>
      </w:tr>
      <w:tr>
        <w:tc>
          <w:tcPr>
            <w:tcW w:type="dxa" w:w="3264"/>
          </w:tcPr>
          <w:p>
            <w:r>
              <w:t>Asset and vulnerability management</w:t>
            </w:r>
          </w:p>
        </w:tc>
        <w:tc>
          <w:tcPr>
            <w:tcW w:type="dxa" w:w="3264"/>
          </w:tcPr>
          <w:p>
            <w:r>
              <w:t>Unknown assets, delayed patches or unsupported software create avoidable exposure.</w:t>
            </w:r>
          </w:p>
        </w:tc>
        <w:tc>
          <w:tcPr>
            <w:tcW w:type="dxa" w:w="3264"/>
          </w:tcPr>
          <w:p>
            <w:r>
              <w:t>Keep an inventory of hardware, software, APIs and cloud assets; prioritise patching by severity and exposure; document exceptions.</w:t>
            </w:r>
          </w:p>
        </w:tc>
      </w:tr>
      <w:tr>
        <w:tc>
          <w:tcPr>
            <w:tcW w:type="dxa" w:w="3264"/>
          </w:tcPr>
          <w:p>
            <w:r>
              <w:t>Application security</w:t>
            </w:r>
          </w:p>
        </w:tc>
        <w:tc>
          <w:tcPr>
            <w:tcW w:type="dxa" w:w="3264"/>
          </w:tcPr>
          <w:p>
            <w:r>
              <w:t>Security testing may occur late or not cover APIs and dependencies.</w:t>
            </w:r>
          </w:p>
        </w:tc>
        <w:tc>
          <w:tcPr>
            <w:tcW w:type="dxa" w:w="3264"/>
          </w:tcPr>
          <w:p>
            <w:r>
              <w:t>Use secure development practices, code review, dependency scanning, threat modelling and independent testing before production release.</w:t>
            </w:r>
          </w:p>
        </w:tc>
      </w:tr>
      <w:tr>
        <w:tc>
          <w:tcPr>
            <w:tcW w:type="dxa" w:w="3264"/>
          </w:tcPr>
          <w:p>
            <w:r>
              <w:t>Data protection</w:t>
            </w:r>
          </w:p>
        </w:tc>
        <w:tc>
          <w:tcPr>
            <w:tcW w:type="dxa" w:w="3264"/>
          </w:tcPr>
          <w:p>
            <w:r>
              <w:t>Unclear classification, retention or deletion practices may lead to unnecessary exposure.</w:t>
            </w:r>
          </w:p>
        </w:tc>
        <w:tc>
          <w:tcPr>
            <w:tcW w:type="dxa" w:w="3264"/>
          </w:tcPr>
          <w:p>
            <w:r>
              <w:t>Classify information, minimise collection, encrypt sensitive data, define retention and securely dispose of data when permitted.</w:t>
            </w:r>
          </w:p>
        </w:tc>
      </w:tr>
      <w:tr>
        <w:tc>
          <w:tcPr>
            <w:tcW w:type="dxa" w:w="3264"/>
          </w:tcPr>
          <w:p>
            <w:r>
              <w:t>Logging and detection</w:t>
            </w:r>
          </w:p>
        </w:tc>
        <w:tc>
          <w:tcPr>
            <w:tcW w:type="dxa" w:w="3264"/>
          </w:tcPr>
          <w:p>
            <w:r>
              <w:t>Logs may be incomplete, unprotected or not reviewed promptly.</w:t>
            </w:r>
          </w:p>
        </w:tc>
        <w:tc>
          <w:tcPr>
            <w:tcW w:type="dxa" w:w="3264"/>
          </w:tcPr>
          <w:p>
            <w:r>
              <w:t>Centralise time-synchronised logs, restrict log access, alert on suspicious activity and verify retention against applicable requirements.</w:t>
            </w:r>
          </w:p>
        </w:tc>
      </w:tr>
      <w:tr>
        <w:tc>
          <w:tcPr>
            <w:tcW w:type="dxa" w:w="3264"/>
          </w:tcPr>
          <w:p>
            <w:r>
              <w:t>Incident response and continuity</w:t>
            </w:r>
          </w:p>
        </w:tc>
        <w:tc>
          <w:tcPr>
            <w:tcW w:type="dxa" w:w="3264"/>
          </w:tcPr>
          <w:p>
            <w:r>
              <w:t>Plans may not be tested and backups may fail during recovery.</w:t>
            </w:r>
          </w:p>
        </w:tc>
        <w:tc>
          <w:tcPr>
            <w:tcW w:type="dxa" w:w="3264"/>
          </w:tcPr>
          <w:p>
            <w:r>
              <w:t>Define escalation roles, rehearse scenarios, preserve evidence, test offline/isolated backups and measure recovery objectives.</w:t>
            </w:r>
          </w:p>
        </w:tc>
      </w:tr>
      <w:tr>
        <w:tc>
          <w:tcPr>
            <w:tcW w:type="dxa" w:w="3264"/>
          </w:tcPr>
          <w:p>
            <w:r>
              <w:t>Third-party and cloud risk</w:t>
            </w:r>
          </w:p>
        </w:tc>
        <w:tc>
          <w:tcPr>
            <w:tcW w:type="dxa" w:w="3264"/>
          </w:tcPr>
          <w:p>
            <w:r>
              <w:t>Contracts may omit security duties or supplier access may remain after work ends.</w:t>
            </w:r>
          </w:p>
        </w:tc>
        <w:tc>
          <w:tcPr>
            <w:tcW w:type="dxa" w:w="3264"/>
          </w:tcPr>
          <w:p>
            <w:r>
              <w:t>Perform supplier due diligence, define breach notification and audit clauses, restrict vendor access and review cloud configuration.</w:t>
            </w:r>
          </w:p>
        </w:tc>
      </w:tr>
      <w:tr>
        <w:tc>
          <w:tcPr>
            <w:tcW w:type="dxa" w:w="3264"/>
          </w:tcPr>
          <w:p>
            <w:r>
              <w:t>Training and citizen awareness</w:t>
            </w:r>
          </w:p>
        </w:tc>
        <w:tc>
          <w:tcPr>
            <w:tcW w:type="dxa" w:w="3264"/>
          </w:tcPr>
          <w:p>
            <w:r>
              <w:t>Staff may not recognise phishing or know how to report incidents.</w:t>
            </w:r>
          </w:p>
        </w:tc>
        <w:tc>
          <w:tcPr>
            <w:tcW w:type="dxa" w:w="3264"/>
          </w:tcPr>
          <w:p>
            <w:r>
              <w:t>Provide role-based training, phishing-awareness exercises and a simple, monitored reporting channel.</w:t>
            </w:r>
          </w:p>
        </w:tc>
      </w:tr>
      <w:tr>
        <w:tc>
          <w:tcPr>
            <w:tcW w:type="dxa" w:w="3264"/>
          </w:tcPr>
          <w:p>
            <w:r>
              <w:t>Audit and remediation</w:t>
            </w:r>
          </w:p>
        </w:tc>
        <w:tc>
          <w:tcPr>
            <w:tcW w:type="dxa" w:w="3264"/>
          </w:tcPr>
          <w:p>
            <w:r>
              <w:t>Audit issues may remain open without deadlines or accountability.</w:t>
            </w:r>
          </w:p>
        </w:tc>
        <w:tc>
          <w:tcPr>
            <w:tcW w:type="dxa" w:w="3264"/>
          </w:tcPr>
          <w:p>
            <w:r>
              <w:t>Track findings by risk, assign owners and due dates, retest fixes and report overdue high-risk issues.</w:t>
            </w:r>
          </w:p>
        </w:tc>
      </w:tr>
    </w:tbl>
    <w:p>
      <w:pPr>
        <w:pStyle w:val="Heading1"/>
      </w:pPr>
      <w:r>
        <w:t>5. Proposed Compliance Framework</w:t>
      </w:r>
    </w:p>
    <w:p>
      <w:r>
        <w:t>The proposed framework uses a repeatable Plan–Implement–Monitor–Improve cycle.</w:t>
      </w:r>
    </w:p>
    <w:p>
      <w:pPr>
        <w:pStyle w:val="Heading2"/>
      </w:pPr>
      <w:r>
        <w:t>5.1 Plan and assign accountability</w:t>
      </w:r>
    </w:p>
    <w:p>
      <w:r>
        <w:t>Appoint a senior accountable officer and an information-security lead. Maintain a register of services, systems, data types, suppliers and applicable obligations. Conduct a documented risk assessment at least annually and after major system changes. Record risk acceptance decisions and ensure that high risks have an owner and a treatment plan.</w:t>
      </w:r>
    </w:p>
    <w:p>
      <w:pPr>
        <w:pStyle w:val="Heading2"/>
      </w:pPr>
      <w:r>
        <w:t>5.2 Implement baseline controls</w:t>
      </w:r>
    </w:p>
    <w:p>
      <w:r>
        <w:t>Apply least-privilege access, multi-factor authentication for privileged accounts, secure configuration baselines, timely patching, endpoint protection and network segmentation. Encrypt sensitive data during transmission and where appropriate at rest. Use tested backups, separate administrative accounts and controlled change management. Public-facing applications should undergo security review and testing before launch and after significant changes.</w:t>
      </w:r>
    </w:p>
    <w:p>
      <w:pPr>
        <w:pStyle w:val="Heading2"/>
      </w:pPr>
      <w:r>
        <w:t>5.3 Monitor, respond and recover</w:t>
      </w:r>
    </w:p>
    <w:p>
      <w:r>
        <w:t>Collect security-relevant logs from servers, identity systems, network devices and applications; synchronise system clocks; protect logs against unauthorised modification; and monitor alerts. Maintain an incident-response playbook with severity levels, contacts, evidence-preservation steps and applicable reporting deadlines. Test recovery procedures and backups, and conduct at least one tabletop incident exercise each year.</w:t>
      </w:r>
    </w:p>
    <w:p>
      <w:pPr>
        <w:pStyle w:val="Heading2"/>
      </w:pPr>
      <w:r>
        <w:t>5.4 Manage suppliers and compliance evidence</w:t>
      </w:r>
    </w:p>
    <w:p>
      <w:r>
        <w:t>Before engaging a supplier, assess its access, hosting arrangements, security controls and incident-notification process. Contracts should specify security responsibilities, access termination, data handling, subcontracting and cooperation during investigations. Keep evidence of audits, access reviews, patch compliance, training, backups, incident exercises and corrective actions in a controlled repository that can be presented during an assessment.</w:t>
      </w:r>
    </w:p>
    <w:p>
      <w:pPr>
        <w:pStyle w:val="Heading1"/>
      </w:pPr>
      <w:r>
        <w:t>6. Implementation Roadmap</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Timeframe</w:t>
            </w:r>
          </w:p>
        </w:tc>
        <w:tc>
          <w:tcPr>
            <w:tcW w:type="dxa" w:w="3264"/>
          </w:tcPr>
          <w:p>
            <w:r>
              <w:t>Priority actions</w:t>
            </w:r>
          </w:p>
        </w:tc>
        <w:tc>
          <w:tcPr>
            <w:tcW w:type="dxa" w:w="3264"/>
          </w:tcPr>
          <w:p>
            <w:r>
              <w:t>Deliverables / measures</w:t>
            </w:r>
          </w:p>
        </w:tc>
      </w:tr>
      <w:tr>
        <w:tc>
          <w:tcPr>
            <w:tcW w:type="dxa" w:w="3264"/>
          </w:tcPr>
          <w:p>
            <w:r>
              <w:t>First 30 days</w:t>
            </w:r>
          </w:p>
        </w:tc>
        <w:tc>
          <w:tcPr>
            <w:tcW w:type="dxa" w:w="3264"/>
          </w:tcPr>
          <w:p>
            <w:r>
              <w:t>Name owners; inventory critical services and data; review current policies; confirm incident contacts.</w:t>
            </w:r>
          </w:p>
        </w:tc>
        <w:tc>
          <w:tcPr>
            <w:tcW w:type="dxa" w:w="3264"/>
          </w:tcPr>
          <w:p>
            <w:r>
              <w:t>Approved responsibility matrix, asset register, policy-gap register and escalation list.</w:t>
            </w:r>
          </w:p>
        </w:tc>
      </w:tr>
      <w:tr>
        <w:tc>
          <w:tcPr>
            <w:tcW w:type="dxa" w:w="3264"/>
          </w:tcPr>
          <w:p>
            <w:r>
              <w:t>Days 31–60</w:t>
            </w:r>
          </w:p>
        </w:tc>
        <w:tc>
          <w:tcPr>
            <w:tcW w:type="dxa" w:w="3264"/>
          </w:tcPr>
          <w:p>
            <w:r>
              <w:t>Assess privileged access, patching, backups, logging, supplier access and public-facing applications.</w:t>
            </w:r>
          </w:p>
        </w:tc>
        <w:tc>
          <w:tcPr>
            <w:tcW w:type="dxa" w:w="3264"/>
          </w:tcPr>
          <w:p>
            <w:r>
              <w:t>Risk-ranked action plan; access review; backup restore test; vulnerability-remediation schedule.</w:t>
            </w:r>
          </w:p>
        </w:tc>
      </w:tr>
      <w:tr>
        <w:tc>
          <w:tcPr>
            <w:tcW w:type="dxa" w:w="3264"/>
          </w:tcPr>
          <w:p>
            <w:r>
              <w:t>Days 61–90</w:t>
            </w:r>
          </w:p>
        </w:tc>
        <w:tc>
          <w:tcPr>
            <w:tcW w:type="dxa" w:w="3264"/>
          </w:tcPr>
          <w:p>
            <w:r>
              <w:t>Close urgent gaps; test incident response; train staff; establish compliance dashboard.</w:t>
            </w:r>
          </w:p>
        </w:tc>
        <w:tc>
          <w:tcPr>
            <w:tcW w:type="dxa" w:w="3264"/>
          </w:tcPr>
          <w:p>
            <w:r>
              <w:t>Exercise report, training records, evidence repository and management dashboard.</w:t>
            </w:r>
          </w:p>
        </w:tc>
      </w:tr>
      <w:tr>
        <w:tc>
          <w:tcPr>
            <w:tcW w:type="dxa" w:w="3264"/>
          </w:tcPr>
          <w:p>
            <w:r>
              <w:t>Ongoing / quarterly</w:t>
            </w:r>
          </w:p>
        </w:tc>
        <w:tc>
          <w:tcPr>
            <w:tcW w:type="dxa" w:w="3264"/>
          </w:tcPr>
          <w:p>
            <w:r>
              <w:t>Review access, vulnerabilities, supplier risks, incidents and overdue audit findings.</w:t>
            </w:r>
          </w:p>
        </w:tc>
        <w:tc>
          <w:tcPr>
            <w:tcW w:type="dxa" w:w="3264"/>
          </w:tcPr>
          <w:p>
            <w:r>
              <w:t>Quarterly review minutes, trend metrics, retest results and updated risk register.</w:t>
            </w:r>
          </w:p>
        </w:tc>
      </w:tr>
    </w:tbl>
    <w:p>
      <w:pPr>
        <w:pStyle w:val="Heading1"/>
      </w:pPr>
      <w:r>
        <w:t>7. Suggested Performance Indicators</w:t>
      </w:r>
    </w:p>
    <w:p>
      <w:pPr>
        <w:pStyle w:val="ListBullet"/>
      </w:pPr>
      <w:r>
        <w:t>Percentage of critical assets with a named owner and current risk assessment.</w:t>
      </w:r>
    </w:p>
    <w:p>
      <w:pPr>
        <w:pStyle w:val="ListBullet"/>
      </w:pPr>
      <w:r>
        <w:t>Percentage of high-risk vulnerabilities remediated within the organisation’s approved target.</w:t>
      </w:r>
    </w:p>
    <w:p>
      <w:pPr>
        <w:pStyle w:val="ListBullet"/>
      </w:pPr>
      <w:r>
        <w:t>Percentage of privileged accounts protected by multi-factor authentication and reviewed quarterly.</w:t>
      </w:r>
    </w:p>
    <w:p>
      <w:pPr>
        <w:pStyle w:val="ListBullet"/>
      </w:pPr>
      <w:r>
        <w:t>Percentage of critical services with a successfully tested backup and recovery procedure.</w:t>
      </w:r>
    </w:p>
    <w:p>
      <w:pPr>
        <w:pStyle w:val="ListBullet"/>
      </w:pPr>
      <w:r>
        <w:t>Time taken to detect, escalate and contain a simulated or real incident.</w:t>
      </w:r>
    </w:p>
    <w:p>
      <w:pPr>
        <w:pStyle w:val="ListBullet"/>
      </w:pPr>
      <w:r>
        <w:t>Number of high-risk audit findings overdue and the percentage retested after remediation.</w:t>
      </w:r>
    </w:p>
    <w:p>
      <w:pPr>
        <w:pStyle w:val="ListBullet"/>
      </w:pPr>
      <w:r>
        <w:t>Percentage of relevant staff completing role-based security training.</w:t>
      </w:r>
    </w:p>
    <w:p>
      <w:pPr>
        <w:pStyle w:val="Heading1"/>
      </w:pPr>
      <w:r>
        <w:t>8. Conclusion</w:t>
      </w:r>
    </w:p>
    <w:p>
      <w:r>
        <w:t>A dependable e-governance service must protect confidentiality, integrity and availability while remaining accessible to citizens. India’s CERT-In guidance and GIGW provide useful foundations, but a policy is effective only when responsibilities, technical controls, evidence and follow-up are established. The most important improvements are risk-based access control, secure application development, timely incident reporting, reliable logging, tested recovery, supplier oversight and continuous audit remediation. The organisation should validate the applicability and current status of legal and regulatory requirements before final approval. A quarterly management review can ensure that cybersecurity is treated as an ongoing public-service responsibility rather than a one-time document.</w:t>
      </w:r>
    </w:p>
    <w:p>
      <w:pPr>
        <w:pStyle w:val="Heading1"/>
      </w:pPr>
      <w:r>
        <w:t>9. References</w:t>
      </w:r>
    </w:p>
    <w:p>
      <w:pPr>
        <w:pStyle w:val="ListNumber"/>
      </w:pPr>
      <w:r>
        <w:t>Indian Computer Emergency Response Team (CERT-In), Guidelines on Information Security Practices for Government Entities (29 June 2023). https://www.cert-in.org.in/guidelinesgovtentities.jsp</w:t>
      </w:r>
    </w:p>
    <w:p>
      <w:pPr>
        <w:pStyle w:val="ListNumber"/>
      </w:pPr>
      <w:r>
        <w:t>CERT-In, Directions under Section 70B of the Information Technology Act, 2000 (28 April 2022), and related FAQs. https://www.cert-in.org.in/Directions70B.jsp</w:t>
      </w:r>
    </w:p>
    <w:p>
      <w:pPr>
        <w:pStyle w:val="ListNumber"/>
      </w:pPr>
      <w:r>
        <w:t>Guidelines for Indian Government Websites and Apps (GIGW 3.0), Government of India / National Informatics Centre. https://guidelines.india.gov.in/</w:t>
      </w:r>
    </w:p>
    <w:p>
      <w:pPr>
        <w:pStyle w:val="ListNumber"/>
      </w:pPr>
      <w:r>
        <w:t>India Code, The Digital Personal Data Protection Act, 2023. https://www.indiacode.nic.in/bitstream/123456789/22037/2/a2023-22.pdf</w:t>
      </w:r>
    </w:p>
    <w:p>
      <w:pPr>
        <w:pStyle w:val="ListNumber"/>
      </w:pPr>
      <w:r>
        <w:t>Press Information Bureau, Ministry of Electronics and Information Technology, CERT-In issues Guidelines on Information Security Practices for Government Entities (30 June 2023). https://www.pib.gov.in/Pressreleaseshare.aspx?PRID=1936470</w:t>
      </w:r>
    </w:p>
    <w:p/>
    <w:p>
      <w:r>
        <w:rPr>
          <w:b/>
        </w:rPr>
        <w:t xml:space="preserve">Academic note: </w:t>
      </w:r>
      <w:r>
        <w:t>This report is a general policy review based on public sources. Confirm current legal applicability, amendments and implementation dates from official sources before using it as legal advice or as a formal compliance certification.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