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F4E79"/>
          <w:sz w:val="48"/>
        </w:rPr>
        <w:t>WEEK 3 PROJECT REPORT</w:t>
      </w:r>
    </w:p>
    <w:p>
      <w:pPr>
        <w:jc w:val="center"/>
      </w:pPr>
      <w:r>
        <w:rPr>
          <w:b/>
          <w:sz w:val="36"/>
        </w:rPr>
        <w:t>Incident Response Plan &amp;</w:t>
        <w:br/>
        <w:t>Cyber Threat Intelligence Analysis</w:t>
      </w:r>
    </w:p>
    <w:p>
      <w:pPr>
        <w:jc w:val="center"/>
      </w:pPr>
      <w:r>
        <w:br/>
        <w:t>Prepared by: [Your Name]</w:t>
        <w:br/>
        <w:t>Project Context: E-Governance Digital Services</w:t>
        <w:br/>
        <w:t>Date: 21 October 2026</w:t>
      </w:r>
    </w:p>
    <w:p>
      <w:r>
        <w:br w:type="page"/>
      </w:r>
    </w:p>
    <w:p>
      <w:pPr>
        <w:pStyle w:val="Heading1"/>
      </w:pPr>
      <w:r>
        <w:t>1. Executive Summary</w:t>
      </w:r>
    </w:p>
    <w:p>
      <w:r>
        <w:t>This report proposes a practical incident response plan for a hypothetical public-sector e-governance service providing online applications, document uploads, status tracking, and citizen notifications. These services may process personal information and must remain trustworthy and available. The plan describes preparation, detection and analysis, containment, eradication, recovery, and post-incident improvement. It also identifies likely threats, indicators to monitor, and ways to use cyber threat intelligence (CTI) to guide defensive decisions. Recommendations are informed by NIST SP 800-61 Rev. 3, the NIST Cybersecurity Framework 2.0, CISA Cybersecurity Performance Goals, and MITRE ATT&amp;CK. This is a planning exercise, not a claim that a real incident occurred.</w:t>
      </w:r>
    </w:p>
    <w:p>
      <w:pPr>
        <w:pStyle w:val="Heading1"/>
      </w:pPr>
      <w:r>
        <w:t>2. Scope and Assumptions</w:t>
      </w:r>
    </w:p>
    <w:p>
      <w:r>
        <w:t>The plan covers the public website and portal, identity and access systems, application servers, databases, staff endpoints, email, cloud or hosting services, backups, and network devices. The example organization has an IT team, a service owner, a communications contact, and access to external technical support. Legal reporting deadlines and data-protection duties must be confirmed with the relevant authority and jurisdiction before operational use.</w:t>
      </w:r>
    </w:p>
    <w:p>
      <w:pPr>
        <w:pStyle w:val="Heading1"/>
      </w:pPr>
      <w:r>
        <w:t>3. Cyber Threats and Risk Analysis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Threat</w:t>
            </w:r>
          </w:p>
        </w:tc>
        <w:tc>
          <w:tcPr>
            <w:tcW w:type="dxa" w:w="2484"/>
            <w:shd w:fill="D9EAF7"/>
          </w:tcPr>
          <w:p>
            <w:r>
              <w:t>Possible impact</w:t>
            </w:r>
          </w:p>
        </w:tc>
        <w:tc>
          <w:tcPr>
            <w:tcW w:type="dxa" w:w="2484"/>
            <w:shd w:fill="D9EAF7"/>
          </w:tcPr>
          <w:p>
            <w:r>
              <w:t>Warning signs</w:t>
            </w:r>
          </w:p>
        </w:tc>
        <w:tc>
          <w:tcPr>
            <w:tcW w:type="dxa" w:w="2484"/>
            <w:shd w:fill="D9EAF7"/>
          </w:tcPr>
          <w:p>
            <w:r>
              <w:t>Priority</w:t>
            </w:r>
          </w:p>
        </w:tc>
      </w:tr>
      <w:tr>
        <w:tc>
          <w:tcPr>
            <w:tcW w:type="dxa" w:w="2484"/>
          </w:tcPr>
          <w:p>
            <w:r>
              <w:t>Phishing / stolen credentials</w:t>
            </w:r>
          </w:p>
        </w:tc>
        <w:tc>
          <w:tcPr>
            <w:tcW w:type="dxa" w:w="2484"/>
          </w:tcPr>
          <w:p>
            <w:r>
              <w:t>Unauthorized staff access or data exposure</w:t>
            </w:r>
          </w:p>
        </w:tc>
        <w:tc>
          <w:tcPr>
            <w:tcW w:type="dxa" w:w="2484"/>
          </w:tcPr>
          <w:p>
            <w:r>
              <w:t>Unusual logins, repeated failures, unexpected MFA prompts</w:t>
            </w:r>
          </w:p>
        </w:tc>
        <w:tc>
          <w:tcPr>
            <w:tcW w:type="dxa" w:w="2484"/>
          </w:tcPr>
          <w:p>
            <w:r>
              <w:t>High</w:t>
            </w:r>
          </w:p>
        </w:tc>
      </w:tr>
      <w:tr>
        <w:tc>
          <w:tcPr>
            <w:tcW w:type="dxa" w:w="2484"/>
          </w:tcPr>
          <w:p>
            <w:r>
              <w:t>Ransomware / destructive malware</w:t>
            </w:r>
          </w:p>
        </w:tc>
        <w:tc>
          <w:tcPr>
            <w:tcW w:type="dxa" w:w="2484"/>
          </w:tcPr>
          <w:p>
            <w:r>
              <w:t>Service outage and data recovery costs</w:t>
            </w:r>
          </w:p>
        </w:tc>
        <w:tc>
          <w:tcPr>
            <w:tcW w:type="dxa" w:w="2484"/>
          </w:tcPr>
          <w:p>
            <w:r>
              <w:t>Endpoint alerts, unusual file changes, suspicious processes</w:t>
            </w:r>
          </w:p>
        </w:tc>
        <w:tc>
          <w:tcPr>
            <w:tcW w:type="dxa" w:w="2484"/>
          </w:tcPr>
          <w:p>
            <w:r>
              <w:t>High</w:t>
            </w:r>
          </w:p>
        </w:tc>
      </w:tr>
      <w:tr>
        <w:tc>
          <w:tcPr>
            <w:tcW w:type="dxa" w:w="2484"/>
          </w:tcPr>
          <w:p>
            <w:r>
              <w:t>Web application vulnerability</w:t>
            </w:r>
          </w:p>
        </w:tc>
        <w:tc>
          <w:tcPr>
            <w:tcW w:type="dxa" w:w="2484"/>
          </w:tcPr>
          <w:p>
            <w:r>
              <w:t>Unauthorized access, data changes, portal disruption</w:t>
            </w:r>
          </w:p>
        </w:tc>
        <w:tc>
          <w:tcPr>
            <w:tcW w:type="dxa" w:w="2484"/>
          </w:tcPr>
          <w:p>
            <w:r>
              <w:t>Suspicious requests, unexpected errors, new admin accounts</w:t>
            </w:r>
          </w:p>
        </w:tc>
        <w:tc>
          <w:tcPr>
            <w:tcW w:type="dxa" w:w="2484"/>
          </w:tcPr>
          <w:p>
            <w:r>
              <w:t>High</w:t>
            </w:r>
          </w:p>
        </w:tc>
      </w:tr>
      <w:tr>
        <w:tc>
          <w:tcPr>
            <w:tcW w:type="dxa" w:w="2484"/>
          </w:tcPr>
          <w:p>
            <w:r>
              <w:t>DDoS / traffic flooding</w:t>
            </w:r>
          </w:p>
        </w:tc>
        <w:tc>
          <w:tcPr>
            <w:tcW w:type="dxa" w:w="2484"/>
          </w:tcPr>
          <w:p>
            <w:r>
              <w:t>Portal becomes slow or unavailable</w:t>
            </w:r>
          </w:p>
        </w:tc>
        <w:tc>
          <w:tcPr>
            <w:tcW w:type="dxa" w:w="2484"/>
          </w:tcPr>
          <w:p>
            <w:r>
              <w:t>Traffic spikes, timeouts, network saturation</w:t>
            </w:r>
          </w:p>
        </w:tc>
        <w:tc>
          <w:tcPr>
            <w:tcW w:type="dxa" w:w="2484"/>
          </w:tcPr>
          <w:p>
            <w:r>
              <w:t>Medium–High</w:t>
            </w:r>
          </w:p>
        </w:tc>
      </w:tr>
      <w:tr>
        <w:tc>
          <w:tcPr>
            <w:tcW w:type="dxa" w:w="2484"/>
          </w:tcPr>
          <w:p>
            <w:r>
              <w:t>Insider misuse / misconfiguration</w:t>
            </w:r>
          </w:p>
        </w:tc>
        <w:tc>
          <w:tcPr>
            <w:tcW w:type="dxa" w:w="2484"/>
          </w:tcPr>
          <w:p>
            <w:r>
              <w:t>Data disclosure or accidental deletion</w:t>
            </w:r>
          </w:p>
        </w:tc>
        <w:tc>
          <w:tcPr>
            <w:tcW w:type="dxa" w:w="2484"/>
          </w:tcPr>
          <w:p>
            <w:r>
              <w:t>Bulk downloads, excessive privileges, exposed storage</w:t>
            </w:r>
          </w:p>
        </w:tc>
        <w:tc>
          <w:tcPr>
            <w:tcW w:type="dxa" w:w="2484"/>
          </w:tcPr>
          <w:p>
            <w:r>
              <w:t>Medium–High</w:t>
            </w:r>
          </w:p>
        </w:tc>
      </w:tr>
      <w:tr>
        <w:tc>
          <w:tcPr>
            <w:tcW w:type="dxa" w:w="2484"/>
          </w:tcPr>
          <w:p>
            <w:r>
              <w:t>Third-party compromise</w:t>
            </w:r>
          </w:p>
        </w:tc>
        <w:tc>
          <w:tcPr>
            <w:tcW w:type="dxa" w:w="2484"/>
          </w:tcPr>
          <w:p>
            <w:r>
              <w:t>Risk introduced through vendors or software updates</w:t>
            </w:r>
          </w:p>
        </w:tc>
        <w:tc>
          <w:tcPr>
            <w:tcW w:type="dxa" w:w="2484"/>
          </w:tcPr>
          <w:p>
            <w:r>
              <w:t>Unexpected vendor activity or integrity failures</w:t>
            </w:r>
          </w:p>
        </w:tc>
        <w:tc>
          <w:tcPr>
            <w:tcW w:type="dxa" w:w="2484"/>
          </w:tcPr>
          <w:p>
            <w:r>
              <w:t>Medium–High</w:t>
            </w:r>
          </w:p>
        </w:tc>
      </w:tr>
    </w:tbl>
    <w:p>
      <w:r>
        <w:t>Risk ratings are preliminary and qualitative. Adjust them using asset criticality, likelihood, data sensitivity, exposure, and potential impact on citizens. MITRE ATT&amp;CK can help classify behaviours such as initial access, credential access, lateral movement, exfiltration, and impact.</w:t>
      </w:r>
    </w:p>
    <w:p>
      <w:pPr>
        <w:pStyle w:val="Heading1"/>
      </w:pPr>
      <w:r>
        <w:t>4. Roles and Responsibilities</w:t>
      </w:r>
    </w:p>
    <w:p>
      <w:pPr>
        <w:pStyle w:val="ListBullet"/>
      </w:pPr>
      <w:r>
        <w:rPr>
          <w:b/>
        </w:rPr>
        <w:t xml:space="preserve">Incident Commander / IT Manager: </w:t>
      </w:r>
      <w:r>
        <w:t>Declares severity, coordinates response, assigns tasks, and approves major decisions.</w:t>
      </w:r>
    </w:p>
    <w:p>
      <w:pPr>
        <w:pStyle w:val="ListBullet"/>
      </w:pPr>
      <w:r>
        <w:rPr>
          <w:b/>
        </w:rPr>
        <w:t xml:space="preserve">Security / IT Analysts: </w:t>
      </w:r>
      <w:r>
        <w:t>Validate alerts, preserve logs, investigate affected systems, and carry out approved containment.</w:t>
      </w:r>
    </w:p>
    <w:p>
      <w:pPr>
        <w:pStyle w:val="ListBullet"/>
      </w:pPr>
      <w:r>
        <w:rPr>
          <w:b/>
        </w:rPr>
        <w:t xml:space="preserve">System and Application Owners: </w:t>
      </w:r>
      <w:r>
        <w:t>Explain dependencies, support isolation and restoration, and verify functionality.</w:t>
      </w:r>
    </w:p>
    <w:p>
      <w:pPr>
        <w:pStyle w:val="ListBullet"/>
      </w:pPr>
      <w:r>
        <w:rPr>
          <w:b/>
        </w:rPr>
        <w:t xml:space="preserve">Legal / Data Protection Contact: </w:t>
      </w:r>
      <w:r>
        <w:t>Assesses privacy and legal obligations and advises on notification and evidence handling.</w:t>
      </w:r>
    </w:p>
    <w:p>
      <w:pPr>
        <w:pStyle w:val="ListBullet"/>
      </w:pPr>
      <w:r>
        <w:rPr>
          <w:b/>
        </w:rPr>
        <w:t xml:space="preserve">Communications Officer: </w:t>
      </w:r>
      <w:r>
        <w:t>Prepares accurate, approved messages for staff, citizens, leadership, and media.</w:t>
      </w:r>
    </w:p>
    <w:p>
      <w:pPr>
        <w:pStyle w:val="ListBullet"/>
      </w:pPr>
      <w:r>
        <w:rPr>
          <w:b/>
        </w:rPr>
        <w:t xml:space="preserve">Vendor / External Response Partner: </w:t>
      </w:r>
      <w:r>
        <w:t>Provides specialist support under an approved contract and secure access process.</w:t>
      </w:r>
    </w:p>
    <w:p>
      <w:pPr>
        <w:pStyle w:val="Heading1"/>
      </w:pPr>
      <w:r>
        <w:t>5. Incident Response Procedure</w:t>
      </w:r>
    </w:p>
    <w:p>
      <w:pPr>
        <w:pStyle w:val="Heading2"/>
      </w:pPr>
      <w:r>
        <w:t>Phase 1 — Preparation</w:t>
      </w:r>
    </w:p>
    <w:p>
      <w:r>
        <w:t>Maintain an inventory of critical assets and data flows; keep systems patched; enforce multi-factor authentication; use least-privilege access; centralize logs; protect offline or immutable backups; document contacts and escalation paths; and conduct tabletop exercises. Staff should know how to report suspicious emails and system behaviour.</w:t>
      </w:r>
    </w:p>
    <w:p>
      <w:pPr>
        <w:pStyle w:val="Heading2"/>
      </w:pPr>
      <w:r>
        <w:t>Phase 2 — Detection and Analysis</w:t>
      </w:r>
    </w:p>
    <w:p>
      <w:r>
        <w:t>Review alerts from endpoint protection, identity logs, web application firewalls, server logs, network monitoring, and user reports. Record the time, affected assets, accounts, alert source, and initial evidence. Validate whether the event is malicious, determine scope and severity, preserve logs, and maintain a timeline. Avoid unnecessary changes to potential evidence.</w:t>
      </w:r>
    </w:p>
    <w:p>
      <w:pPr>
        <w:pStyle w:val="Heading2"/>
      </w:pPr>
      <w:r>
        <w:t>Phase 3 — Containment</w:t>
      </w:r>
    </w:p>
    <w:p>
      <w:r>
        <w:t>Choose actions based on risk and service impact. Disable compromised accounts, revoke sessions and tokens, isolate affected endpoints or servers, block confirmed malicious indicators, and restrict exposed interfaces. Coordinate with the service owner before taking a citizen-facing service offline. Document every action.</w:t>
      </w:r>
    </w:p>
    <w:p>
      <w:pPr>
        <w:pStyle w:val="Heading2"/>
      </w:pPr>
      <w:r>
        <w:t>Phase 4 — Eradication</w:t>
      </w:r>
    </w:p>
    <w:p>
      <w:r>
        <w:t>Identify the entry point and remove the cause: patch exploited vulnerabilities, remove malicious persistence, reset affected credentials, remove unauthorized accounts, and rebuild compromised systems from trusted images when needed. Check connected systems for related activity before reconnecting them.</w:t>
      </w:r>
    </w:p>
    <w:p>
      <w:pPr>
        <w:pStyle w:val="Heading2"/>
      </w:pPr>
      <w:r>
        <w:t>Phase 5 — Recovery</w:t>
      </w:r>
    </w:p>
    <w:p>
      <w:r>
        <w:t>Restore services from verified clean backups or trusted builds. Prioritize identity, network, database, and portal dependencies. Test access controls, data integrity, application functions, logging, and performance. Monitor for recurring alerts, obtain service-owner approval, and communicate service status clearly.</w:t>
      </w:r>
    </w:p>
    <w:p>
      <w:pPr>
        <w:pStyle w:val="Heading2"/>
      </w:pPr>
      <w:r>
        <w:t>Phase 6 — Lessons Learned</w:t>
      </w:r>
    </w:p>
    <w:p>
      <w:r>
        <w:t>Hold a review after recovery to examine causes, response delays, user impact, and control gaps. Record corrective actions with owners and due dates, update the playbook and risk register, and test whether improvements work. Share relevant threat information safely with appropriate partners.</w:t>
      </w:r>
    </w:p>
    <w:p>
      <w:pPr>
        <w:pStyle w:val="Heading1"/>
      </w:pPr>
      <w:r>
        <w:t>6. Detection and Evidence Checklist</w:t>
      </w:r>
    </w:p>
    <w:p>
      <w:pPr>
        <w:pStyle w:val="ListBullet"/>
      </w:pPr>
      <w:r>
        <w:t>Repeated login failures, impossible travel, unfamiliar devices, or unusual administrator activity.</w:t>
      </w:r>
    </w:p>
    <w:p>
      <w:pPr>
        <w:pStyle w:val="ListBullet"/>
      </w:pPr>
      <w:r>
        <w:t>Unexpected website-file changes, altered permissions, scheduled tasks, or privileged accounts.</w:t>
      </w:r>
    </w:p>
    <w:p>
      <w:pPr>
        <w:pStyle w:val="ListBullet"/>
      </w:pPr>
      <w:r>
        <w:t>Large database exports, unusual data transfers, or access outside normal working patterns.</w:t>
      </w:r>
    </w:p>
    <w:p>
      <w:pPr>
        <w:pStyle w:val="ListBullet"/>
      </w:pPr>
      <w:r>
        <w:t>Endpoint alerts, suspicious scripts, abnormal encryption activity, or disabled security tools.</w:t>
      </w:r>
    </w:p>
    <w:p>
      <w:pPr>
        <w:pStyle w:val="ListBullet"/>
      </w:pPr>
      <w:r>
        <w:t>Traffic spikes, repeated HTTP errors, and unusual server resource usage.</w:t>
      </w:r>
    </w:p>
    <w:p>
      <w:pPr>
        <w:pStyle w:val="ListBullet"/>
      </w:pPr>
      <w:r>
        <w:t>Preserve timestamps, relevant logs, alert records, file hashes where appropriate, and an action timeline.</w:t>
      </w:r>
    </w:p>
    <w:p>
      <w:pPr>
        <w:pStyle w:val="Heading1"/>
      </w:pPr>
      <w:r>
        <w:t>7. Cyber Threat Intelligence Process</w:t>
      </w:r>
    </w:p>
    <w:p>
      <w:r>
        <w:t>CTI converts information about threats into decisions that protect the service. Use reputable sources such as CISA alerts and advisories, NIST publications, vendor security advisories, and MITRE ATT&amp;CK. Intelligence should be relevant to the organization’s technology and exposure rather than copied without assessment.</w:t>
      </w:r>
    </w:p>
    <w:p>
      <w:pPr>
        <w:pStyle w:val="ListNumber"/>
      </w:pPr>
      <w:r>
        <w:t>Collect: review advisories, vulnerability notices, security-tool alerts, and trusted incident reports.</w:t>
      </w:r>
    </w:p>
    <w:p>
      <w:pPr>
        <w:pStyle w:val="ListNumber"/>
      </w:pPr>
      <w:r>
        <w:t>Validate: confirm source credibility, publication date, affected products, and whether indicators remain useful.</w:t>
      </w:r>
    </w:p>
    <w:p>
      <w:pPr>
        <w:pStyle w:val="ListNumber"/>
      </w:pPr>
      <w:r>
        <w:t>Analyze: map observed behaviour to ATT&amp;CK tactics and techniques; assess exposure and possible impact.</w:t>
      </w:r>
    </w:p>
    <w:p>
      <w:pPr>
        <w:pStyle w:val="ListNumber"/>
      </w:pPr>
      <w:r>
        <w:t>Act: prioritize patches, block verified malicious indicators, reset exposed credentials, and improve detections.</w:t>
      </w:r>
    </w:p>
    <w:p>
      <w:pPr>
        <w:pStyle w:val="ListNumber"/>
      </w:pPr>
      <w:r>
        <w:t>Share and review: distribute approved summaries to responsible teams and update them as evidence changes.</w:t>
      </w:r>
    </w:p>
    <w:p>
      <w:pPr>
        <w:pStyle w:val="Heading1"/>
      </w:pPr>
      <w:r>
        <w:t>8. Recommended Security Controls</w:t>
      </w:r>
    </w:p>
    <w:p>
      <w:pPr>
        <w:pStyle w:val="ListBullet"/>
      </w:pPr>
      <w:r>
        <w:rPr>
          <w:b/>
        </w:rPr>
        <w:t xml:space="preserve">Identity: </w:t>
      </w:r>
      <w:r>
        <w:t>Multi-factor authentication, least privilege, secure account recovery, and prompt offboarding.</w:t>
      </w:r>
    </w:p>
    <w:p>
      <w:pPr>
        <w:pStyle w:val="ListBullet"/>
      </w:pPr>
      <w:r>
        <w:rPr>
          <w:b/>
        </w:rPr>
        <w:t xml:space="preserve">Systems: </w:t>
      </w:r>
      <w:r>
        <w:t>Risk-based patching, secure configuration baselines, vulnerability scanning, and removal of unsupported software.</w:t>
      </w:r>
    </w:p>
    <w:p>
      <w:pPr>
        <w:pStyle w:val="ListBullet"/>
      </w:pPr>
      <w:r>
        <w:rPr>
          <w:b/>
        </w:rPr>
        <w:t xml:space="preserve">Data: </w:t>
      </w:r>
      <w:r>
        <w:t>Encryption in transit and at rest, access logging, data minimization, retention rules, and tested backups.</w:t>
      </w:r>
    </w:p>
    <w:p>
      <w:pPr>
        <w:pStyle w:val="ListBullet"/>
      </w:pPr>
      <w:r>
        <w:rPr>
          <w:b/>
        </w:rPr>
        <w:t xml:space="preserve">Network and applications: </w:t>
      </w:r>
      <w:r>
        <w:t>Network segmentation, web application firewall where appropriate, secure testing, rate limiting, and DDoS protection.</w:t>
      </w:r>
    </w:p>
    <w:p>
      <w:pPr>
        <w:pStyle w:val="ListBullet"/>
      </w:pPr>
      <w:r>
        <w:rPr>
          <w:b/>
        </w:rPr>
        <w:t xml:space="preserve">Monitoring: </w:t>
      </w:r>
      <w:r>
        <w:t>Centralized time-synchronized logs, endpoint detection, alert triage procedures, and documented retention.</w:t>
      </w:r>
    </w:p>
    <w:p>
      <w:pPr>
        <w:pStyle w:val="ListBullet"/>
      </w:pPr>
      <w:r>
        <w:rPr>
          <w:b/>
        </w:rPr>
        <w:t xml:space="preserve">People and suppliers: </w:t>
      </w:r>
      <w:r>
        <w:t>Security awareness, clear reporting channels, vendor access reviews, and incident-notification clauses.</w:t>
      </w:r>
    </w:p>
    <w:p>
      <w:pPr>
        <w:pStyle w:val="Heading1"/>
      </w:pPr>
      <w:r>
        <w:t>9. Recovery Priorities and Success Measures</w:t>
      </w:r>
    </w:p>
    <w:p>
      <w:r>
        <w:t>Suggested recovery order is: (1) identity and core network services, (2) databases and essential integrations, (3) the citizen-facing portal and application services, and (4) non-critical reporting features. Confirm the order against the real service architecture. Track time to acknowledge alerts, time to contain incidents, percentage of critical assets covered by centralized logging, patching of critical vulnerabilities, backup restoration-test success, and completion of corrective actions. Leadership should approve measurable targets.</w:t>
      </w:r>
    </w:p>
    <w:p>
      <w:pPr>
        <w:pStyle w:val="Heading1"/>
      </w:pPr>
      <w:r>
        <w:t>10. Conclusion</w:t>
      </w:r>
    </w:p>
    <w:p>
      <w:r>
        <w:t>A prepared and tested incident response plan can reduce disruption and support reliable public digital services. The strongest approach combines clear ownership, timely detection, evidence preservation, proportionate containment, trusted recovery, and continuous learning. Threat intelligence is useful when validated and translated into specific actions for the organization’s systems. This report is a baseline template and should be tailored to actual assets, staffing, contracts, local laws, and service continuity requirements.</w:t>
      </w:r>
    </w:p>
    <w:p>
      <w:pPr>
        <w:pStyle w:val="Heading1"/>
      </w:pPr>
      <w:r>
        <w:t>11. References</w:t>
      </w:r>
    </w:p>
    <w:p>
      <w:pPr>
        <w:pStyle w:val="ListNumber"/>
      </w:pPr>
      <w:r>
        <w:t>National Institute of Standards and Technology (NIST). SP 800-61 Rev. 3: Incident Response Recommendations and Considerations for Cybersecurity Risk Management. https://csrc.nist.gov/pubs/sp/800/61/r3/final</w:t>
      </w:r>
    </w:p>
    <w:p>
      <w:pPr>
        <w:pStyle w:val="ListNumber"/>
      </w:pPr>
      <w:r>
        <w:t>Cybersecurity and Infrastructure Security Agency (CISA). Cross-Sector Cybersecurity Performance Goals. https://www.cisa.gov/cybersecurity-performance-goals</w:t>
      </w:r>
    </w:p>
    <w:p>
      <w:pPr>
        <w:pStyle w:val="ListNumber"/>
      </w:pPr>
      <w:r>
        <w:t>MITRE. MITRE ATT&amp;CK Enterprise Tactics. https://attack.mitre.org/tactics/</w:t>
      </w:r>
    </w:p>
    <w:p>
      <w:pPr>
        <w:pStyle w:val="ListNumber"/>
      </w:pPr>
      <w:r>
        <w:t>NIST. Cybersecurity Framework (CSF) 2.0. https://www.nist.gov/cyberframework</w:t>
      </w:r>
    </w:p>
    <w:p>
      <w:r>
        <w:br w:type="page"/>
      </w:r>
    </w:p>
    <w:p>
      <w:pPr>
        <w:pStyle w:val="Heading1"/>
      </w:pPr>
      <w:r>
        <w:t>Submission Description (more than 200 words)</w:t>
      </w:r>
    </w:p>
    <w:p>
      <w:r>
        <w:t>This report presents an incident response plan and preliminary cyber threat intelligence analysis for a hypothetical e-governance digital service. The objective is to help a public service organization prepare for, detect, contain, eradicate, and recover from cybersecurity incidents while reducing disruption to citizens. The report identifies key risks including phishing and stolen credentials, ransomware, web application vulnerabilities, denial-of-service attacks, insider misuse, and third-party compromise. It describes warning signs that can be monitored through identity logs, endpoint protection, application logs, network monitoring, and user reports.</w:t>
        <w:br/>
        <w:br/>
        <w:t>The proposed response framework defines responsibilities for the incident commander, security analysts, system owners, legal or data-protection contacts, communications staff, and external support providers. It provides a step-by-step procedure covering preparation, detection and analysis, containment, eradication, recovery, and lessons learned. Recommended controls include multi-factor authentication, least-privilege access, risk-based patching, centralized logging, secure configuration, network segmentation, staff awareness, and regularly tested backups. The report also explains how cyber threat intelligence can be collected from trusted public advisories, validated, mapped to MITRE ATT&amp;CK behaviours, and converted into practical defensive actions.</w:t>
        <w:br/>
        <w:br/>
        <w:t>The recommendations are informed by NIST SP 800-61 Revision 3, the NIST Cybersecurity Framework 2.0, CISA’s Cross-Sector Cybersecurity Performance Goals, and the MITRE ATT&amp;CK knowledge base. The plan emphasizes evidence preservation, clear communication, service continuity, measurable improvement, and review after an incident. The report is intended as a baseline planning document for a hypothetical public digital service; an actual organization should adapt it to its own systems, staffing, risk level, contracts, and applicable legal requirements.</w:t>
      </w:r>
    </w:p>
    <w:p>
      <w:pPr>
        <w:pStyle w:val="Heading1"/>
      </w:pPr>
      <w:r>
        <w:t>Before Submitting</w:t>
      </w:r>
    </w:p>
    <w:p>
      <w:pPr>
        <w:pStyle w:val="ListBullet"/>
      </w:pPr>
      <w:r>
        <w:t>Replace [Your Name] on the cover page with your own name.</w:t>
      </w:r>
    </w:p>
    <w:p>
      <w:pPr>
        <w:pStyle w:val="ListBullet"/>
      </w:pPr>
      <w:r>
        <w:t>Review the report and ensure you can explain its main points.</w:t>
      </w:r>
    </w:p>
    <w:p>
      <w:pPr>
        <w:pStyle w:val="ListBullet"/>
      </w:pPr>
      <w:r>
        <w:t>If technical internship rules require GitHub, upload this report and a README to your own repository and use the real repository URL.</w:t>
      </w:r>
    </w:p>
    <w:p>
      <w:pPr>
        <w:pStyle w:val="ListBullet"/>
      </w:pPr>
      <w:r>
        <w:t>Paste the submission description above into the website’s 200-word description box.</w:t>
      </w:r>
    </w:p>
    <w:p>
      <w:pPr>
        <w:pStyle w:val="ListBullet"/>
      </w:pPr>
      <w:r>
        <w:t>Do not claim that you tested a real government system or responded to a real incident; this is a proposed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