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46"/>
        </w:rPr>
        <w:t>WEEK 4 PROJECT REPORT</w:t>
      </w:r>
    </w:p>
    <w:p>
      <w:pPr>
        <w:jc w:val="center"/>
      </w:pPr>
      <w:r>
        <w:rPr>
          <w:b/>
          <w:sz w:val="34"/>
        </w:rPr>
        <w:t>Security Architecture Design &amp;</w:t>
        <w:br/>
        <w:t>Network Defense Strategy</w:t>
      </w:r>
    </w:p>
    <w:p>
      <w:pPr>
        <w:jc w:val="center"/>
      </w:pPr>
      <w:r>
        <w:br/>
        <w:t>Prepared by: [Your Name]</w:t>
        <w:br/>
      </w:r>
      <w:r>
        <w:t>Scenario: Hypothetical E-Governance Digital Service</w:t>
        <w:br/>
      </w:r>
      <w:r>
        <w:t>Date: 21 October 2026</w:t>
      </w:r>
    </w:p>
    <w:p>
      <w:r>
        <w:br w:type="page"/>
      </w:r>
    </w:p>
    <w:p>
      <w:pPr>
        <w:pStyle w:val="Heading1"/>
      </w:pPr>
      <w:r>
        <w:t>1. Executive Summary</w:t>
      </w:r>
    </w:p>
    <w:p>
      <w:r>
        <w:t>This report proposes a layered security architecture and network defense strategy for a hypothetical e-governance platform used by citizens to submit applications, upload documents, check case status, and receive notifications. The design aims to protect confidentiality, integrity, availability, privacy, and service continuity. It combines network segmentation, secure configurations, identity controls, perimeter and host defenses, centralized monitoring, vulnerability management, and tested recovery procedures. The strategy follows defense-in-depth and zero-trust principles and is aligned conceptually with NIST Cybersecurity Framework (CSF) 2.0, NIST SP 800-207 Zero Trust Architecture, CIS Critical Security Controls, and CISA Cybersecurity Performance Goals. This is a reference design, not a deployment on a real government network; implementation should be validated against actual requirements, traffic patterns, legal obligations, and available resources.</w:t>
      </w:r>
    </w:p>
    <w:p>
      <w:pPr>
        <w:pStyle w:val="Heading1"/>
      </w:pPr>
      <w:r>
        <w:t>2. Objectives, Scope, and Design Principles</w:t>
      </w:r>
    </w:p>
    <w:p>
      <w:pPr>
        <w:pStyle w:val="ListBullet"/>
      </w:pPr>
      <w:r>
        <w:t>Protect citizen data and administrative accounts from unauthorized access or disclosure.</w:t>
      </w:r>
    </w:p>
    <w:p>
      <w:pPr>
        <w:pStyle w:val="ListBullet"/>
      </w:pPr>
      <w:r>
        <w:t>Keep public services available during common attacks and operational failures.</w:t>
      </w:r>
    </w:p>
    <w:p>
      <w:pPr>
        <w:pStyle w:val="ListBullet"/>
      </w:pPr>
      <w:r>
        <w:t>Limit attacker movement by separating public-facing, application, data, management, and backup environments.</w:t>
      </w:r>
    </w:p>
    <w:p>
      <w:pPr>
        <w:pStyle w:val="ListBullet"/>
      </w:pPr>
      <w:r>
        <w:t>Detect suspicious activity through centralized logs, endpoint monitoring, network telemetry, and clear alert ownership.</w:t>
      </w:r>
    </w:p>
    <w:p>
      <w:pPr>
        <w:pStyle w:val="ListBullet"/>
      </w:pPr>
      <w:r>
        <w:t>Make security controls measurable, maintainable, and proportionate to service risk.</w:t>
      </w:r>
    </w:p>
    <w:p>
      <w:r>
        <w:t>Scope includes the public portal, web/API tier, application services, databases, identity provider, administrator endpoints, email, hosting/cloud environment, DNS, firewalls, monitoring systems, and backups. The design assumes that some services may be cloud-hosted. Where a control is provided by a cloud vendor, responsibility must be explicitly assigned under the shared-responsibility model.</w:t>
      </w:r>
    </w:p>
    <w:p>
      <w:pPr>
        <w:pStyle w:val="Heading1"/>
      </w:pPr>
      <w:r>
        <w:t>3. Proposed Security Architecture</w:t>
      </w:r>
    </w:p>
    <w:p>
      <w:r>
        <w:t>The architecture uses separate trust zones. Public traffic should not reach databases or management interfaces directly. Only explicitly approved flows are allowed between zones; all other traffic is denied by default.</w:t>
      </w:r>
    </w:p>
    <w:p>
      <w:pPr>
        <w:jc w:val="center"/>
      </w:pPr>
      <w:r>
        <w:rPr>
          <w:rFonts w:ascii="Courier New" w:hAnsi="Courier New"/>
          <w:sz w:val="17"/>
        </w:rPr>
        <w:t>CITIZEN / STAFF USERS</w:t>
        <w:br/>
        <w:t xml:space="preserve">        │ HTTPS (TLS)</w:t>
        <w:br/>
        <w:t xml:space="preserve">        ▼</w:t>
        <w:br/>
        <w:t>DNS + DDoS Protection / CDN</w:t>
        <w:br/>
        <w:t xml:space="preserve">        │</w:t>
        <w:br/>
        <w:t xml:space="preserve">        ▼</w:t>
        <w:br/>
        <w:t>Perimeter Firewall + Web Application Firewall (WAF)</w:t>
        <w:br/>
        <w:t xml:space="preserve">        │ allow-list only</w:t>
        <w:br/>
        <w:t xml:space="preserve">        ▼</w:t>
        <w:br/>
        <w:t>PUBLIC / DMZ ZONE: Reverse Proxy / Load Balancer</w:t>
        <w:br/>
        <w:t xml:space="preserve">        │ approved application ports only</w:t>
        <w:br/>
        <w:t xml:space="preserve">        ▼</w:t>
        <w:br/>
        <w:t>APPLICATION ZONE: Web Services / API Gateway</w:t>
        <w:br/>
        <w:t xml:space="preserve">        │ service identity + restricted rules</w:t>
        <w:br/>
        <w:t xml:space="preserve">        ▼</w:t>
        <w:br/>
        <w:t>DATA ZONE: Database + Encrypted Object Storage</w:t>
        <w:br/>
        <w:br/>
        <w:t>Separate restricted paths:</w:t>
        <w:br/>
        <w:t>ADMIN ZONE: MFA + Privileged Access Workstation / VPN → Management Interfaces</w:t>
        <w:br/>
        <w:t>SECURITY ZONE: SIEM / Log Store ← Firewall, WAF, Identity, Server, Endpoint and Cloud Logs</w:t>
        <w:br/>
        <w:t>BACKUP ZONE: Isolated, immutable backups ← approved backup jobs only</w:t>
      </w:r>
    </w:p>
    <w:p>
      <w:r>
        <w:t>Diagram 1. Logical architecture (illustrative). Production designs should add network interfaces, high availability, routing, cloud controls, and service-specific ports after a formal architecture review.</w:t>
      </w:r>
    </w:p>
    <w:p>
      <w:pPr>
        <w:pStyle w:val="Heading1"/>
      </w:pPr>
      <w:r>
        <w:t>4. Security Layers and Control Mechanisms</w:t>
      </w:r>
    </w:p>
    <w:tbl>
      <w:tblPr>
        <w:tblStyle w:val="LightShading-Accent1"/>
        <w:tblW w:type="auto" w:w="0"/>
        <w:tblLook w:firstColumn="1" w:firstRow="1" w:lastColumn="0" w:lastRow="0" w:noHBand="0" w:noVBand="1" w:val="04A0"/>
      </w:tblPr>
      <w:tblGrid>
        <w:gridCol w:w="3408"/>
        <w:gridCol w:w="3408"/>
        <w:gridCol w:w="3408"/>
      </w:tblGrid>
      <w:tr>
        <w:tc>
          <w:tcPr>
            <w:tcW w:type="dxa" w:w="3408"/>
            <w:shd w:fill="D9EAF7"/>
          </w:tcPr>
          <w:p>
            <w:r>
              <w:t>Layer</w:t>
            </w:r>
          </w:p>
        </w:tc>
        <w:tc>
          <w:tcPr>
            <w:tcW w:type="dxa" w:w="3408"/>
            <w:shd w:fill="D9EAF7"/>
          </w:tcPr>
          <w:p>
            <w:r>
              <w:t>Controls</w:t>
            </w:r>
          </w:p>
        </w:tc>
        <w:tc>
          <w:tcPr>
            <w:tcW w:type="dxa" w:w="3408"/>
            <w:shd w:fill="D9EAF7"/>
          </w:tcPr>
          <w:p>
            <w:r>
              <w:t>Purpose</w:t>
            </w:r>
          </w:p>
        </w:tc>
      </w:tr>
      <w:tr>
        <w:tc>
          <w:tcPr>
            <w:tcW w:type="dxa" w:w="3408"/>
          </w:tcPr>
          <w:p>
            <w:r>
              <w:t>Internet edge</w:t>
            </w:r>
          </w:p>
        </w:tc>
        <w:tc>
          <w:tcPr>
            <w:tcW w:type="dxa" w:w="3408"/>
          </w:tcPr>
          <w:p>
            <w:r>
              <w:t>DDoS protection, DNS protection, firewall, WAF, TLS, rate limits</w:t>
            </w:r>
          </w:p>
        </w:tc>
        <w:tc>
          <w:tcPr>
            <w:tcW w:type="dxa" w:w="3408"/>
          </w:tcPr>
          <w:p>
            <w:r>
              <w:t>Reduce exposure to abusive traffic and common web attacks.</w:t>
            </w:r>
          </w:p>
        </w:tc>
      </w:tr>
      <w:tr>
        <w:tc>
          <w:tcPr>
            <w:tcW w:type="dxa" w:w="3408"/>
          </w:tcPr>
          <w:p>
            <w:r>
              <w:t>DMZ / reverse proxy</w:t>
            </w:r>
          </w:p>
        </w:tc>
        <w:tc>
          <w:tcPr>
            <w:tcW w:type="dxa" w:w="3408"/>
          </w:tcPr>
          <w:p>
            <w:r>
              <w:t>Hardened proxy, minimal services, secure headers, health checks</w:t>
            </w:r>
          </w:p>
        </w:tc>
        <w:tc>
          <w:tcPr>
            <w:tcW w:type="dxa" w:w="3408"/>
          </w:tcPr>
          <w:p>
            <w:r>
              <w:t>Separate internet-facing components from internal systems.</w:t>
            </w:r>
          </w:p>
        </w:tc>
      </w:tr>
      <w:tr>
        <w:tc>
          <w:tcPr>
            <w:tcW w:type="dxa" w:w="3408"/>
          </w:tcPr>
          <w:p>
            <w:r>
              <w:t>Application / API</w:t>
            </w:r>
          </w:p>
        </w:tc>
        <w:tc>
          <w:tcPr>
            <w:tcW w:type="dxa" w:w="3408"/>
          </w:tcPr>
          <w:p>
            <w:r>
              <w:t>Authentication and authorization, input validation, secrets manager, secure SDLC, API quotas</w:t>
            </w:r>
          </w:p>
        </w:tc>
        <w:tc>
          <w:tcPr>
            <w:tcW w:type="dxa" w:w="3408"/>
          </w:tcPr>
          <w:p>
            <w:r>
              <w:t>Prevent broken access control, injection, and unsafe data handling.</w:t>
            </w:r>
          </w:p>
        </w:tc>
      </w:tr>
      <w:tr>
        <w:tc>
          <w:tcPr>
            <w:tcW w:type="dxa" w:w="3408"/>
          </w:tcPr>
          <w:p>
            <w:r>
              <w:t>Data services</w:t>
            </w:r>
          </w:p>
        </w:tc>
        <w:tc>
          <w:tcPr>
            <w:tcW w:type="dxa" w:w="3408"/>
          </w:tcPr>
          <w:p>
            <w:r>
              <w:t>Private subnets, encryption, database roles, audit logs, restricted egress</w:t>
            </w:r>
          </w:p>
        </w:tc>
        <w:tc>
          <w:tcPr>
            <w:tcW w:type="dxa" w:w="3408"/>
          </w:tcPr>
          <w:p>
            <w:r>
              <w:t>Protect sensitive records and limit data exfiltration.</w:t>
            </w:r>
          </w:p>
        </w:tc>
      </w:tr>
      <w:tr>
        <w:tc>
          <w:tcPr>
            <w:tcW w:type="dxa" w:w="3408"/>
          </w:tcPr>
          <w:p>
            <w:r>
              <w:t>Identity and admin</w:t>
            </w:r>
          </w:p>
        </w:tc>
        <w:tc>
          <w:tcPr>
            <w:tcW w:type="dxa" w:w="3408"/>
          </w:tcPr>
          <w:p>
            <w:r>
              <w:t>MFA, least privilege, separate admin accounts, privileged access management, time-limited access</w:t>
            </w:r>
          </w:p>
        </w:tc>
        <w:tc>
          <w:tcPr>
            <w:tcW w:type="dxa" w:w="3408"/>
          </w:tcPr>
          <w:p>
            <w:r>
              <w:t>Reduce account takeover and administrative misuse.</w:t>
            </w:r>
          </w:p>
        </w:tc>
      </w:tr>
      <w:tr>
        <w:tc>
          <w:tcPr>
            <w:tcW w:type="dxa" w:w="3408"/>
          </w:tcPr>
          <w:p>
            <w:r>
              <w:t>Endpoints and servers</w:t>
            </w:r>
          </w:p>
        </w:tc>
        <w:tc>
          <w:tcPr>
            <w:tcW w:type="dxa" w:w="3408"/>
          </w:tcPr>
          <w:p>
            <w:r>
              <w:t>EDR, patching, secure baselines, disk encryption, application control</w:t>
            </w:r>
          </w:p>
        </w:tc>
        <w:tc>
          <w:tcPr>
            <w:tcW w:type="dxa" w:w="3408"/>
          </w:tcPr>
          <w:p>
            <w:r>
              <w:t>Detect malware and reduce exploitable weaknesses.</w:t>
            </w:r>
          </w:p>
        </w:tc>
      </w:tr>
      <w:tr>
        <w:tc>
          <w:tcPr>
            <w:tcW w:type="dxa" w:w="3408"/>
          </w:tcPr>
          <w:p>
            <w:r>
              <w:t>Monitoring</w:t>
            </w:r>
          </w:p>
        </w:tc>
        <w:tc>
          <w:tcPr>
            <w:tcW w:type="dxa" w:w="3408"/>
          </w:tcPr>
          <w:p>
            <w:r>
              <w:t>Central log collection, SIEM use cases, synchronized time, alert runbooks</w:t>
            </w:r>
          </w:p>
        </w:tc>
        <w:tc>
          <w:tcPr>
            <w:tcW w:type="dxa" w:w="3408"/>
          </w:tcPr>
          <w:p>
            <w:r>
              <w:t>Provide visibility, correlation, and accountable response.</w:t>
            </w:r>
          </w:p>
        </w:tc>
      </w:tr>
      <w:tr>
        <w:tc>
          <w:tcPr>
            <w:tcW w:type="dxa" w:w="3408"/>
          </w:tcPr>
          <w:p>
            <w:r>
              <w:t>Backup and recovery</w:t>
            </w:r>
          </w:p>
        </w:tc>
        <w:tc>
          <w:tcPr>
            <w:tcW w:type="dxa" w:w="3408"/>
          </w:tcPr>
          <w:p>
            <w:r>
              <w:t>Offline or immutable copies, separate credentials, restoration tests</w:t>
            </w:r>
          </w:p>
        </w:tc>
        <w:tc>
          <w:tcPr>
            <w:tcW w:type="dxa" w:w="3408"/>
          </w:tcPr>
          <w:p>
            <w:r>
              <w:t>Recover services after ransomware or accidental loss.</w:t>
            </w:r>
          </w:p>
        </w:tc>
      </w:tr>
    </w:tbl>
    <w:p>
      <w:pPr>
        <w:pStyle w:val="Heading1"/>
      </w:pPr>
      <w:r>
        <w:t>5. Network Segmentation and Traffic Policy</w:t>
      </w:r>
    </w:p>
    <w:p>
      <w:r>
        <w:t>Create separate logical networks or security groups for the DMZ, application services, databases, staff endpoints, administration, security monitoring, and backups. Segment further by environment (development, test, production) and by sensitivity where appropriate. Use firewall rules based on documented source, destination, protocol, port, business purpose, owner, and expiry/review date. Deny inbound and lateral traffic by default; allow only necessary flows. Do not expose database ports, management consoles, or internal monitoring tools to the public internet. Review rules after major changes and remove temporary access when no longer needed.</w:t>
      </w:r>
    </w:p>
    <w:p>
      <w:pPr>
        <w:pStyle w:val="Heading1"/>
      </w:pPr>
      <w:r>
        <w:t>6. Secure Configuration and Vulnerability Management</w:t>
      </w:r>
    </w:p>
    <w:p>
      <w:pPr>
        <w:pStyle w:val="ListBullet"/>
      </w:pPr>
      <w:r>
        <w:t>Use supported operating systems and applications; remove unused packages, services, accounts, and default credentials.</w:t>
      </w:r>
    </w:p>
    <w:p>
      <w:pPr>
        <w:pStyle w:val="ListBullet"/>
      </w:pPr>
      <w:r>
        <w:t>Apply secure configuration baselines, such as CIS Benchmarks where applicable, and track deviations with approved exceptions.</w:t>
      </w:r>
    </w:p>
    <w:p>
      <w:pPr>
        <w:pStyle w:val="ListBullet"/>
      </w:pPr>
      <w:r>
        <w:t>Maintain an asset inventory with owners, software versions, exposure, data classification, and business criticality.</w:t>
      </w:r>
    </w:p>
    <w:p>
      <w:pPr>
        <w:pStyle w:val="ListBullet"/>
      </w:pPr>
      <w:r>
        <w:t>Run authenticated vulnerability scans at an approved frequency and after significant changes; validate findings before remediation.</w:t>
      </w:r>
    </w:p>
    <w:p>
      <w:pPr>
        <w:pStyle w:val="ListBullet"/>
      </w:pPr>
      <w:r>
        <w:t>Prioritize remediation using severity, known exploitation, internet exposure, asset criticality, and compensating controls.</w:t>
      </w:r>
    </w:p>
    <w:p>
      <w:pPr>
        <w:pStyle w:val="ListBullet"/>
      </w:pPr>
      <w:r>
        <w:t>Use a controlled change process with testing, approval, rollback plans, and audit records.</w:t>
      </w:r>
    </w:p>
    <w:p>
      <w:pPr>
        <w:pStyle w:val="ListBullet"/>
      </w:pPr>
      <w:r>
        <w:t>Store secrets in a managed vault; never commit passwords, API keys, private keys, or production data to source control.</w:t>
      </w:r>
    </w:p>
    <w:p>
      <w:pPr>
        <w:pStyle w:val="Heading1"/>
      </w:pPr>
      <w:r>
        <w:t>7. Intrusion Detection, Prevention, and Monitoring</w:t>
      </w:r>
    </w:p>
    <w:p>
      <w:r>
        <w:t>Use a combination of network intrusion detection/prevention (NIDS/NIPS), endpoint detection and response (EDR), web application firewall events, identity-provider logs, DNS telemetry, cloud audit logs, and application/database audit records. Prevention rules should be tested to avoid blocking legitimate citizen traffic. Detection should prioritize high-value behaviours rather than relying only on static indicators.</w:t>
      </w:r>
    </w:p>
    <w:p>
      <w:pPr>
        <w:pStyle w:val="ListBullet"/>
      </w:pPr>
      <w:r>
        <w:t>Alert on repeated authentication failures, impossible travel where applicable, MFA fatigue indicators, and privileged role changes.</w:t>
      </w:r>
    </w:p>
    <w:p>
      <w:pPr>
        <w:pStyle w:val="ListBullet"/>
      </w:pPr>
      <w:r>
        <w:t>Detect unusual data downloads, unexpected database queries, suspicious outbound connections, and atypical service-account use.</w:t>
      </w:r>
    </w:p>
    <w:p>
      <w:pPr>
        <w:pStyle w:val="ListBullet"/>
      </w:pPr>
      <w:r>
        <w:t>Monitor WAF blocks, application errors, scanning patterns, DDoS signals, and sudden changes in request volume.</w:t>
      </w:r>
    </w:p>
    <w:p>
      <w:pPr>
        <w:pStyle w:val="ListBullet"/>
      </w:pPr>
      <w:r>
        <w:t>Centralize logs in a restricted, tamper-resistant platform; synchronize clocks and define retention based on legal and operational needs.</w:t>
      </w:r>
    </w:p>
    <w:p>
      <w:pPr>
        <w:pStyle w:val="ListBullet"/>
      </w:pPr>
      <w:r>
        <w:t>Assign an owner and severity to every alert type, with a documented escalation path and tested response playbook.</w:t>
      </w:r>
    </w:p>
    <w:p>
      <w:pPr>
        <w:pStyle w:val="Heading1"/>
      </w:pPr>
      <w:r>
        <w:t>8. Example Incident Flowchart</w:t>
      </w:r>
    </w:p>
    <w:p>
      <w:pPr>
        <w:jc w:val="center"/>
      </w:pPr>
      <w:r>
        <w:rPr>
          <w:rFonts w:ascii="Courier New" w:hAnsi="Courier New"/>
          <w:sz w:val="17"/>
        </w:rPr>
        <w:t>ALERT / USER REPORT</w:t>
        <w:br/>
        <w:t xml:space="preserve">       ↓</w:t>
        <w:br/>
        <w:t>TRIAGE: validate alert, assign severity, open incident record</w:t>
        <w:br/>
        <w:t xml:space="preserve">       ↓</w:t>
        <w:br/>
        <w:t>CONFIRMED INCIDENT? ── No → document, tune detection, close</w:t>
        <w:br/>
        <w:t xml:space="preserve">       │ Yes</w:t>
        <w:br/>
        <w:t xml:space="preserve">       ↓</w:t>
        <w:br/>
        <w:t>CONTAIN: isolate host/account, restrict traffic, preserve evidence</w:t>
        <w:br/>
        <w:t xml:space="preserve">       ↓</w:t>
        <w:br/>
        <w:t>ERADICATE: remove cause, patch, rotate credentials, rebuild if needed</w:t>
        <w:br/>
        <w:t xml:space="preserve">       ↓</w:t>
        <w:br/>
        <w:t>RECOVER: restore clean service, validate integrity, monitor closely</w:t>
        <w:br/>
        <w:t xml:space="preserve">       ↓</w:t>
        <w:br/>
        <w:t>LESSONS LEARNED: actions, owners, due dates, playbook updates</w:t>
      </w:r>
    </w:p>
    <w:p>
      <w:r>
        <w:t>Diagram 2. High-level incident workflow. The incident commander should coordinate major containment and public-service availability decisions; legal or privacy contacts should assess notification requirements.</w:t>
      </w:r>
    </w:p>
    <w:p>
      <w:pPr>
        <w:pStyle w:val="Heading1"/>
      </w:pPr>
      <w:r>
        <w:t>9. Governance, Roles, and Responsibilities</w:t>
      </w:r>
    </w:p>
    <w:p>
      <w:pPr>
        <w:pStyle w:val="ListBullet"/>
      </w:pPr>
      <w:r>
        <w:rPr>
          <w:b/>
        </w:rPr>
        <w:t xml:space="preserve">Service owner: </w:t>
      </w:r>
      <w:r>
        <w:t>Accepts business risk, approves service priorities, and confirms recovery requirements.</w:t>
      </w:r>
    </w:p>
    <w:p>
      <w:pPr>
        <w:pStyle w:val="ListBullet"/>
      </w:pPr>
      <w:r>
        <w:rPr>
          <w:b/>
        </w:rPr>
        <w:t xml:space="preserve">Security lead / incident commander: </w:t>
      </w:r>
      <w:r>
        <w:t>Coordinates incidents, assigns severity, authorizes response actions, and maintains the incident record.</w:t>
      </w:r>
    </w:p>
    <w:p>
      <w:pPr>
        <w:pStyle w:val="ListBullet"/>
      </w:pPr>
      <w:r>
        <w:rPr>
          <w:b/>
        </w:rPr>
        <w:t xml:space="preserve">Network and platform team: </w:t>
      </w:r>
      <w:r>
        <w:t>Owns firewall rules, segmentation, patching, hardening, backups, and infrastructure recovery.</w:t>
      </w:r>
    </w:p>
    <w:p>
      <w:pPr>
        <w:pStyle w:val="ListBullet"/>
      </w:pPr>
      <w:r>
        <w:rPr>
          <w:b/>
        </w:rPr>
        <w:t xml:space="preserve">Application and data owners: </w:t>
      </w:r>
      <w:r>
        <w:t>Implement secure coding, access controls, database auditing, and data-integrity checks.</w:t>
      </w:r>
    </w:p>
    <w:p>
      <w:pPr>
        <w:pStyle w:val="ListBullet"/>
      </w:pPr>
      <w:r>
        <w:rPr>
          <w:b/>
        </w:rPr>
        <w:t xml:space="preserve">SOC / monitoring analyst: </w:t>
      </w:r>
      <w:r>
        <w:t>Reviews alerts, investigates signals, escalates incidents, and maintains evidence.</w:t>
      </w:r>
    </w:p>
    <w:p>
      <w:pPr>
        <w:pStyle w:val="ListBullet"/>
      </w:pPr>
      <w:r>
        <w:rPr>
          <w:b/>
        </w:rPr>
        <w:t xml:space="preserve">Privacy / legal contact: </w:t>
      </w:r>
      <w:r>
        <w:t>Assesses data exposure, regulatory duties, and approved external notifications.</w:t>
      </w:r>
    </w:p>
    <w:p>
      <w:pPr>
        <w:pStyle w:val="ListBullet"/>
      </w:pPr>
      <w:r>
        <w:rPr>
          <w:b/>
        </w:rPr>
        <w:t xml:space="preserve">Communications contact: </w:t>
      </w:r>
      <w:r>
        <w:t>Issues accurate, authorized service-status updates to staff and citizens.</w:t>
      </w:r>
    </w:p>
    <w:p>
      <w:pPr>
        <w:pStyle w:val="ListBullet"/>
      </w:pPr>
      <w:r>
        <w:rPr>
          <w:b/>
        </w:rPr>
        <w:t xml:space="preserve">Supplier / cloud provider: </w:t>
      </w:r>
      <w:r>
        <w:t>Performs agreed responsibilities under documented contracts and escalation arrangements.</w:t>
      </w:r>
    </w:p>
    <w:p>
      <w:pPr>
        <w:pStyle w:val="Heading1"/>
      </w:pPr>
      <w:r>
        <w:t>10. Implementation Roadmap</w:t>
      </w:r>
    </w:p>
    <w:tbl>
      <w:tblPr>
        <w:tblStyle w:val="LightShading-Accent1"/>
        <w:tblW w:type="auto" w:w="0"/>
        <w:tblLook w:firstColumn="1" w:firstRow="1" w:lastColumn="0" w:lastRow="0" w:noHBand="0" w:noVBand="1" w:val="04A0"/>
      </w:tblPr>
      <w:tblGrid>
        <w:gridCol w:w="5112"/>
        <w:gridCol w:w="5112"/>
      </w:tblGrid>
      <w:tr>
        <w:tc>
          <w:tcPr>
            <w:tcW w:type="dxa" w:w="5112"/>
            <w:shd w:fill="D9EAF7"/>
          </w:tcPr>
          <w:p>
            <w:r>
              <w:t>Timeline</w:t>
            </w:r>
          </w:p>
        </w:tc>
        <w:tc>
          <w:tcPr>
            <w:tcW w:type="dxa" w:w="5112"/>
            <w:shd w:fill="D9EAF7"/>
          </w:tcPr>
          <w:p>
            <w:r>
              <w:t>Priority activities</w:t>
            </w:r>
          </w:p>
        </w:tc>
      </w:tr>
      <w:tr>
        <w:tc>
          <w:tcPr>
            <w:tcW w:type="dxa" w:w="5112"/>
          </w:tcPr>
          <w:p>
            <w:r>
              <w:t>First 30 days</w:t>
            </w:r>
          </w:p>
        </w:tc>
        <w:tc>
          <w:tcPr>
            <w:tcW w:type="dxa" w:w="5112"/>
          </w:tcPr>
          <w:p>
            <w:r>
              <w:t>Inventory critical assets; verify MFA and administrator accounts; review internet-exposed services; confirm backup status and incident contacts.</w:t>
            </w:r>
          </w:p>
        </w:tc>
      </w:tr>
      <w:tr>
        <w:tc>
          <w:tcPr>
            <w:tcW w:type="dxa" w:w="5112"/>
          </w:tcPr>
          <w:p>
            <w:r>
              <w:t>Days 31–60</w:t>
            </w:r>
          </w:p>
        </w:tc>
        <w:tc>
          <w:tcPr>
            <w:tcW w:type="dxa" w:w="5112"/>
          </w:tcPr>
          <w:p>
            <w:r>
              <w:t>Implement or refine network zones and firewall allow-lists; establish centralized logs; scan critical assets; prioritize high-risk findings.</w:t>
            </w:r>
          </w:p>
        </w:tc>
      </w:tr>
      <w:tr>
        <w:tc>
          <w:tcPr>
            <w:tcW w:type="dxa" w:w="5112"/>
          </w:tcPr>
          <w:p>
            <w:r>
              <w:t>Days 61–90</w:t>
            </w:r>
          </w:p>
        </w:tc>
        <w:tc>
          <w:tcPr>
            <w:tcW w:type="dxa" w:w="5112"/>
          </w:tcPr>
          <w:p>
            <w:r>
              <w:t>Create alert runbooks; test restoration; run a tabletop exercise; review vendor access; measure detection and response gaps.</w:t>
            </w:r>
          </w:p>
        </w:tc>
      </w:tr>
      <w:tr>
        <w:tc>
          <w:tcPr>
            <w:tcW w:type="dxa" w:w="5112"/>
          </w:tcPr>
          <w:p>
            <w:r>
              <w:t>Ongoing</w:t>
            </w:r>
          </w:p>
        </w:tc>
        <w:tc>
          <w:tcPr>
            <w:tcW w:type="dxa" w:w="5112"/>
          </w:tcPr>
          <w:p>
            <w:r>
              <w:t>Patch continuously based on risk, review access and rules, test incident procedures, reassess architecture after major changes, and track corrective actions.</w:t>
            </w:r>
          </w:p>
        </w:tc>
      </w:tr>
    </w:tbl>
    <w:p>
      <w:pPr>
        <w:pStyle w:val="Heading1"/>
      </w:pPr>
      <w:r>
        <w:t>11. Metrics and Validation</w:t>
      </w:r>
    </w:p>
    <w:p>
      <w:r>
        <w:t>Use measurable indicators such as percentage of critical assets inventoried, percentage of privileged accounts protected by MFA, age of critical vulnerabilities, percentage of critical systems sending logs, firewall-rule review completion, backup restoration-test success, mean time to acknowledge high-severity alerts, and completion rate of remediation actions. Set targets only after establishing a baseline and having service leadership approve realistic objectives. Validate the design through configuration reviews, vulnerability assessment, controlled penetration testing with authorization, tabletop exercises, and disaster-recovery tests.</w:t>
      </w:r>
    </w:p>
    <w:p>
      <w:pPr>
        <w:pStyle w:val="Heading1"/>
      </w:pPr>
      <w:r>
        <w:t>12. Conclusion</w:t>
      </w:r>
    </w:p>
    <w:p>
      <w:r>
        <w:t>A secure e-governance platform needs layered controls rather than reliance on a single firewall or security product. Segmentation limits lateral movement, secure configuration reduces exploitable weaknesses, identity controls protect privileged access, and centralized monitoring improves detection and response. Backups and tested recovery procedures support service continuity. The proposed design should be adapted to the platform’s real architecture, risk assessment, budget, staffing, accessibility needs, and applicable law before implementation.</w:t>
      </w:r>
    </w:p>
    <w:p>
      <w:pPr>
        <w:pStyle w:val="Heading1"/>
      </w:pPr>
      <w:r>
        <w:t>13. References</w:t>
      </w:r>
    </w:p>
    <w:p>
      <w:pPr>
        <w:pStyle w:val="ListNumber"/>
      </w:pPr>
      <w:r>
        <w:t>NIST. Cybersecurity Framework (CSF) 2.0. https://www.nist.gov/cyberframework</w:t>
      </w:r>
    </w:p>
    <w:p>
      <w:pPr>
        <w:pStyle w:val="ListNumber"/>
      </w:pPr>
      <w:r>
        <w:t>NIST. SP 800-207, Zero Trust Architecture. https://csrc.nist.gov/pubs/sp/800/207/final</w:t>
      </w:r>
    </w:p>
    <w:p>
      <w:pPr>
        <w:pStyle w:val="ListNumber"/>
      </w:pPr>
      <w:r>
        <w:t>NIST. SP 800-61 Rev. 3, Incident Response Recommendations and Considerations for Cybersecurity Risk Management. https://csrc.nist.gov/pubs/sp/800/61/r3/final</w:t>
      </w:r>
    </w:p>
    <w:p>
      <w:pPr>
        <w:pStyle w:val="ListNumber"/>
      </w:pPr>
      <w:r>
        <w:t>Center for Internet Security. CIS Critical Security Controls. https://www.cisecurity.org/controls</w:t>
      </w:r>
    </w:p>
    <w:p>
      <w:pPr>
        <w:pStyle w:val="ListNumber"/>
      </w:pPr>
      <w:r>
        <w:t>CISA. Cross-Sector Cybersecurity Performance Goals. https://www.cisa.gov/cybersecurity-performance-goals</w:t>
      </w:r>
    </w:p>
    <w:p>
      <w:pPr>
        <w:pStyle w:val="ListNumber"/>
      </w:pPr>
      <w:r>
        <w:t>MITRE. ATT&amp;CK Knowledge Base. https://attack.mitre.org/</w:t>
      </w:r>
    </w:p>
    <w:p>
      <w:r>
        <w:br w:type="page"/>
      </w:r>
    </w:p>
    <w:p>
      <w:pPr>
        <w:pStyle w:val="Heading1"/>
      </w:pPr>
      <w:r>
        <w:t>Submission Description (paste into the website; 200+ words)</w:t>
      </w:r>
    </w:p>
    <w:p>
      <w:r>
        <w:t>This report presents a proposed security architecture design and network defense strategy for a hypothetical e-governance digital service. The objective is to protect citizen-facing applications and sensitive information while maintaining availability, integrity, confidentiality, privacy, and operational resilience. The design uses defense-in-depth and zero-trust principles and separates internet-facing services, application workloads, databases, administrator access, security monitoring, and backups into distinct trust zones. The report explains how firewalls, a web application firewall, secure transport encryption, identity controls, endpoint protection, centralized logging, and backup safeguards work together.</w:t>
        <w:br/>
        <w:br/>
        <w:t>The network defense strategy recommends default-deny traffic policies, narrowly scoped allow-lists, multi-factor authentication, least-privilege access, hardened system configurations, vulnerability scanning, risk-based patching, secure secret storage, and controlled change management. It describes monitoring signals from identity providers, endpoints, DNS, applications, databases, firewalls, and cloud audit logs. It also includes an incident workflow covering alert triage, validation, containment, eradication, recovery, and lessons learned. Roles are assigned to service owners, security leads, network and platform teams, application owners, monitoring analysts, privacy or legal contacts, communications staff, and suppliers.</w:t>
        <w:br/>
        <w:br/>
        <w:t>The architecture and recommendations are informed by NIST Cybersecurity Framework 2.0, NIST SP 800-207 Zero Trust Architecture, NIST SP 800-61 Revision 3, CIS Critical Security Controls, CISA Cybersecurity Performance Goals, and MITRE ATT&amp;CK. A phased implementation roadmap and suggested metrics are included to support practical adoption and ongoing improvement. The report is an illustrative design for a hypothetical service, not a claim that a real government network has been tested. Before deployment, the organization should validate the design against its own asset inventory, threat model, data-protection obligations, service-level requirements, staffing, budget, and technical environment.</w:t>
      </w:r>
    </w:p>
    <w:p>
      <w:pPr>
        <w:pStyle w:val="Heading1"/>
      </w:pPr>
      <w:r>
        <w:t>Submission Checklist</w:t>
      </w:r>
    </w:p>
    <w:p>
      <w:pPr>
        <w:pStyle w:val="ListBullet"/>
      </w:pPr>
      <w:r>
        <w:t>Replace [Your Name] on the cover page.</w:t>
      </w:r>
    </w:p>
    <w:p>
      <w:pPr>
        <w:pStyle w:val="ListBullet"/>
      </w:pPr>
      <w:r>
        <w:t>Read the report and make sure you understand the architecture and recommendations.</w:t>
      </w:r>
    </w:p>
    <w:p>
      <w:pPr>
        <w:pStyle w:val="ListBullet"/>
      </w:pPr>
      <w:r>
        <w:t>Upload the .docx report to the internship portal.</w:t>
      </w:r>
    </w:p>
    <w:p>
      <w:pPr>
        <w:pStyle w:val="ListBullet"/>
      </w:pPr>
      <w:r>
        <w:t>If the internship requires a GitHub URL, upload the report and a README to your repository and use the actual repository URL.</w:t>
      </w:r>
    </w:p>
    <w:p>
      <w:pPr>
        <w:pStyle w:val="ListBullet"/>
      </w:pPr>
      <w:r>
        <w:t>Paste the submission description above into the portal's description field.</w:t>
      </w:r>
    </w:p>
    <w:p>
      <w:pPr>
        <w:pStyle w:val="ListBullet"/>
      </w:pPr>
      <w:r>
        <w:t>Do not claim that you deployed or tested this architecture on a real public service unless you actually did so.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