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720"/>
        <w:jc w:val="center"/>
      </w:pPr>
      <w:r>
        <w:rPr>
          <w:rFonts w:ascii="Times New Roman" w:cs="Times New Roman" w:eastAsia="Times New Roman" w:hAnsi="Times New Roman"/>
          <w:b/>
          <w:bCs/>
          <w:sz w:val="30"/>
          <w:szCs w:val="30"/>
        </w:rPr>
        <w:t xml:space="preserve">Temporal Patterns of Maternal Health Care Utilisation in Malawi: A Comparative Unsupervised Learning Analysis of the 2015 and 2024 Demographic and Health Surveys</w:t>
      </w:r>
    </w:p>
    <w:p>
      <w:pPr>
        <w:spacing w:after="60" w:before="80"/>
        <w:jc w:val="center"/>
      </w:pPr>
      <w:r>
        <w:rPr>
          <w:rFonts w:ascii="Times New Roman" w:cs="Times New Roman" w:eastAsia="Times New Roman" w:hAnsi="Times New Roman"/>
          <w:i/>
          <w:iCs/>
          <w:sz w:val="20"/>
          <w:szCs w:val="20"/>
        </w:rPr>
        <w:t xml:space="preserve">Running title: Maternal care utilisation clusters in Malawi: 2015 vs 2024</w:t>
      </w:r>
    </w:p>
    <w:p>
      <w:pPr>
        <w:spacing w:after="0" w:before="120"/>
      </w:pPr>
    </w:p>
    <w:p>
      <w:pPr>
        <w:spacing w:after="40" w:before="0"/>
        <w:jc w:val="center"/>
      </w:pPr>
      <w:r>
        <w:rPr>
          <w:rFonts w:ascii="Times New Roman" w:cs="Times New Roman" w:eastAsia="Times New Roman" w:hAnsi="Times New Roman"/>
          <w:sz w:val="22"/>
          <w:szCs w:val="22"/>
        </w:rPr>
        <w:t xml:space="preserve">[Author 1, MD, PhD]¹, [Author 2, MSc]², [Author 3, PhD]³</w:t>
      </w:r>
    </w:p>
    <w:p>
      <w:pPr>
        <w:spacing w:after="20" w:before="0"/>
        <w:jc w:val="center"/>
      </w:pPr>
      <w:r>
        <w:rPr>
          <w:rFonts w:ascii="Times New Roman" w:cs="Times New Roman" w:eastAsia="Times New Roman" w:hAnsi="Times New Roman"/>
          <w:sz w:val="20"/>
          <w:szCs w:val="20"/>
        </w:rPr>
        <w:t xml:space="preserve">¹ [Institution 1], [Country]</w:t>
      </w:r>
    </w:p>
    <w:p>
      <w:pPr>
        <w:spacing w:after="20" w:before="0"/>
        <w:jc w:val="center"/>
      </w:pPr>
      <w:r>
        <w:rPr>
          <w:rFonts w:ascii="Times New Roman" w:cs="Times New Roman" w:eastAsia="Times New Roman" w:hAnsi="Times New Roman"/>
          <w:sz w:val="20"/>
          <w:szCs w:val="20"/>
        </w:rPr>
        <w:t xml:space="preserve">² [Institution 2], [Country]</w:t>
      </w:r>
    </w:p>
    <w:p>
      <w:pPr>
        <w:spacing w:after="120" w:before="0"/>
        <w:jc w:val="center"/>
      </w:pPr>
      <w:r>
        <w:rPr>
          <w:rFonts w:ascii="Times New Roman" w:cs="Times New Roman" w:eastAsia="Times New Roman" w:hAnsi="Times New Roman"/>
          <w:sz w:val="20"/>
          <w:szCs w:val="20"/>
        </w:rPr>
        <w:t xml:space="preserve">³ [Institution 3], [Country]</w:t>
      </w:r>
    </w:p>
    <w:p>
      <w:pPr>
        <w:spacing w:after="40" w:before="0"/>
        <w:jc w:val="center"/>
      </w:pPr>
      <w:r>
        <w:rPr>
          <w:rFonts w:ascii="Times New Roman" w:cs="Times New Roman" w:eastAsia="Times New Roman" w:hAnsi="Times New Roman"/>
          <w:i/>
          <w:iCs/>
          <w:sz w:val="20"/>
          <w:szCs w:val="20"/>
        </w:rPr>
        <w:t xml:space="preserve">Corresponding author: [Name] | [Email] | [Address]</w:t>
      </w:r>
    </w:p>
    <w:p>
      <w:pPr>
        <w:spacing w:after="0" w:before="120"/>
      </w:pPr>
    </w:p>
    <w:p>
      <w:pPr>
        <w:spacing w:after="40" w:before="0"/>
        <w:jc w:val="center"/>
      </w:pPr>
      <w:r>
        <w:rPr>
          <w:rFonts w:ascii="Times New Roman" w:cs="Times New Roman" w:eastAsia="Times New Roman" w:hAnsi="Times New Roman"/>
          <w:sz w:val="20"/>
          <w:szCs w:val="20"/>
        </w:rPr>
        <w:t xml:space="preserve">Word count (main text, excluding abstract/tables/references): ~5,600</w:t>
      </w:r>
    </w:p>
    <w:p>
      <w:pPr>
        <w:spacing w:after="40" w:before="0"/>
        <w:jc w:val="center"/>
      </w:pPr>
      <w:r>
        <w:rPr>
          <w:rFonts w:ascii="Times New Roman" w:cs="Times New Roman" w:eastAsia="Times New Roman" w:hAnsi="Times New Roman"/>
          <w:sz w:val="20"/>
          <w:szCs w:val="20"/>
        </w:rPr>
        <w:t xml:space="preserve">Keywords: maternal health care utilisation, unsupervised learning, cluster analysis, Gaussian mixture models, continuum of care, temporal trends, Malawi, sub-Saharan Africa, adolescent maternal health, health equity</w:t>
      </w:r>
    </w:p>
    <w:p>
      <w:pPr>
        <w:pageBreakBefore/>
      </w:pPr>
    </w:p>
    <w:p>
      <w:pPr>
        <w:pStyle w:val="Heading1"/>
        <w:spacing w:after="100" w:before="320"/>
      </w:pPr>
      <w:r>
        <w:rPr>
          <w:rFonts w:ascii="Times New Roman" w:cs="Times New Roman" w:eastAsia="Times New Roman" w:hAnsi="Times New Roman"/>
          <w:b/>
          <w:bCs/>
          <w:color w:val="1F3864"/>
          <w:sz w:val="28"/>
          <w:szCs w:val="28"/>
        </w:rPr>
        <w:t xml:space="preserve">Abstract</w:t>
      </w:r>
    </w:p>
    <w:p>
      <w:pPr>
        <w:spacing w:after="100" w:before="100" w:line="480" w:lineRule="auto"/>
        <w:jc w:val="both"/>
      </w:pPr>
      <w:r>
        <w:rPr>
          <w:rFonts w:ascii="Times New Roman" w:cs="Times New Roman" w:eastAsia="Times New Roman" w:hAnsi="Times New Roman"/>
          <w:b/>
          <w:bCs/>
          <w:sz w:val="22"/>
          <w:szCs w:val="22"/>
        </w:rPr>
        <w:t xml:space="preserve">Background:</w:t>
      </w:r>
      <w:r>
        <w:rPr>
          <w:rFonts w:ascii="Times New Roman" w:cs="Times New Roman" w:eastAsia="Times New Roman" w:hAnsi="Times New Roman"/>
          <w:sz w:val="22"/>
          <w:szCs w:val="22"/>
        </w:rPr>
        <w:t xml:space="preserve"> Malawi has made substantial investments in maternal health services over the past decade, yet heterogeneity in how women engage across the full continuum of antenatal, delivery, and postnatal care remains incompletely characterised. Data-driven methods are needed to identify distinct utilisation patterns and their sociodemographic determinants.</w:t>
      </w:r>
    </w:p>
    <w:p>
      <w:pPr>
        <w:spacing w:after="100" w:before="100" w:line="480" w:lineRule="auto"/>
        <w:jc w:val="both"/>
      </w:pPr>
      <w:r>
        <w:rPr>
          <w:rFonts w:ascii="Times New Roman" w:cs="Times New Roman" w:eastAsia="Times New Roman" w:hAnsi="Times New Roman"/>
          <w:b/>
          <w:bCs/>
          <w:sz w:val="22"/>
          <w:szCs w:val="22"/>
        </w:rPr>
        <w:t xml:space="preserve">Methods:</w:t>
      </w:r>
      <w:r>
        <w:rPr>
          <w:rFonts w:ascii="Times New Roman" w:cs="Times New Roman" w:eastAsia="Times New Roman" w:hAnsi="Times New Roman"/>
          <w:sz w:val="22"/>
          <w:szCs w:val="22"/>
        </w:rPr>
        <w:t xml:space="preserve"> We used a data-driven statistical grouping method (Gaussian Mixture Model clustering) applied independently to harmonised individual-level data from the 2015 MDHS (n = 13,030) and 2024 MDHS (n = 6,925). Eleven care indicators were included spanning the full continuum: antenatal care (visit timing, frequency, provider skill, early initiation, adequacy, and optimality), delivery care (facility delivery, skilled attendance, caesarean section), and postnatal care receipt. The number of groups was determined using standard statistical fit criteria. Groups were matched across survey years using an optimal assignment procedure. Subgroup analyses examined group distributions by residence, wealth, age, and education. Predictors of group membership were identified using multinomial logistic regression and a machine learning method (Random Forest), validated by cross-validation. All analyses were conducted in Python.</w:t>
      </w:r>
    </w:p>
    <w:p>
      <w:pPr>
        <w:spacing w:after="100" w:before="100" w:line="480" w:lineRule="auto"/>
        <w:jc w:val="both"/>
      </w:pPr>
      <w:r>
        <w:rPr>
          <w:rFonts w:ascii="Times New Roman" w:cs="Times New Roman" w:eastAsia="Times New Roman" w:hAnsi="Times New Roman"/>
          <w:b/>
          <w:bCs/>
          <w:sz w:val="22"/>
          <w:szCs w:val="22"/>
        </w:rPr>
        <w:t xml:space="preserve">Results:</w:t>
      </w:r>
      <w:r>
        <w:rPr>
          <w:rFonts w:ascii="Times New Roman" w:cs="Times New Roman" w:eastAsia="Times New Roman" w:hAnsi="Times New Roman"/>
          <w:sz w:val="22"/>
          <w:szCs w:val="22"/>
        </w:rPr>
        <w:t xml:space="preserve"> A four-cluster solution was identified for 2015 and a three-cluster solution for 2024. In 2015, the dominant pattern was “late/inadequate ANC with facility delivery” (60.1%), alongside a “comprehensive care” cluster (24.2%), a “caesarean/high PNC” cluster (7.0%), and a “minimal utilisation” cluster (8.8%). By 2024, the “comprehensive care” cluster had nearly doubled (24.2% to 46.7%), the “late ANC/facility delivery” cluster declined (60.1% to 48.4%), and the “minimal utilisation” cluster was no longer identifiable. The largest single improvement was early ANC initiation (26.0% to 57.5%; a 31.5 percent increase; p &lt; 0.001). Sociodemographic gradients were significant across all subgroups (all p &lt; 0.001), but effect sizes narrowed: Cramér’s V for residence declined from 0.123 (2015) to 0.055 (2024), and for wealth quintile from 0.090 to 0.059, indicating more equitable distribution of high-coverage care. Adolescent women (15–19 years) showed the lowest rates of comprehensive ANC in both years (19.7% in 2015, 43.3% in 2024), with a persistent gap relative to women aged 20–34 (24.6% and 48.2%, respectively). The sociodemographic predictability of group membership improved between survey years; age, parity, and region were the strongest predictors in both years.</w:t>
      </w:r>
    </w:p>
    <w:p>
      <w:pPr>
        <w:spacing w:after="100" w:before="100" w:line="480" w:lineRule="auto"/>
        <w:jc w:val="both"/>
      </w:pPr>
      <w:r>
        <w:rPr>
          <w:rFonts w:ascii="Times New Roman" w:cs="Times New Roman" w:eastAsia="Times New Roman" w:hAnsi="Times New Roman"/>
          <w:b/>
          <w:bCs/>
          <w:sz w:val="22"/>
          <w:szCs w:val="22"/>
        </w:rPr>
        <w:t xml:space="preserve">Conclusions:</w:t>
      </w:r>
      <w:r>
        <w:rPr>
          <w:rFonts w:ascii="Times New Roman" w:cs="Times New Roman" w:eastAsia="Times New Roman" w:hAnsi="Times New Roman"/>
          <w:sz w:val="22"/>
          <w:szCs w:val="22"/>
        </w:rPr>
        <w:t xml:space="preserve"> Malawi’s maternal health system has achieved remarkable progress in shifting women from late, inadequate antenatal care to comprehensive engagement across the continuum. The near-elimination of the minimal utilisation cluster and the doubling of high-coverage care are particularly notable. Despite these gains, adolescent women and the poorest quintile continue to show lower rates of comprehensive care, and a substantial proportion of women (approximately 48%) still initiate ANC late. Targeted strategies addressing adolescent-specific barriers and demand-side constraints among the poorest women are needed to close persistent gaps.</w:t>
      </w:r>
    </w:p>
    <w:p>
      <w:pPr>
        <w:pageBreakBefore/>
      </w:pPr>
    </w:p>
    <w:p>
      <w:pPr>
        <w:pStyle w:val="Heading1"/>
        <w:spacing w:after="100" w:before="320"/>
      </w:pPr>
      <w:r>
        <w:rPr>
          <w:rFonts w:ascii="Times New Roman" w:cs="Times New Roman" w:eastAsia="Times New Roman" w:hAnsi="Times New Roman"/>
          <w:b/>
          <w:bCs/>
          <w:color w:val="1F3864"/>
          <w:sz w:val="28"/>
          <w:szCs w:val="28"/>
        </w:rPr>
        <w:t xml:space="preserve">Introduction</w:t>
      </w:r>
    </w:p>
    <w:p>
      <w:pPr>
        <w:spacing w:after="100" w:before="60" w:line="480" w:lineRule="auto"/>
        <w:jc w:val="both"/>
      </w:pPr>
      <w:r>
        <w:rPr>
          <w:rFonts w:ascii="Times New Roman" w:cs="Times New Roman" w:eastAsia="Times New Roman" w:hAnsi="Times New Roman"/>
          <w:sz w:val="22"/>
          <w:szCs w:val="22"/>
        </w:rPr>
        <w:t xml:space="preserve">Despite global reductions in maternal mortality, sub-Saharan Africa bears a disproportionate burden, accounting for approximately two-thirds of all maternal deaths worldwide [1,2]. Evidence consistently demonstrates that timely engagement across the continuum of antenatal, intrapartum, and postnatal care is protective against preventable maternal deaths [3,4]. Malawi’s maternal mortality ratio declined from approximately 1,190 per 100,000 live births in 2000 to 381 per 100,000 in 2020 [5], a trajectory shaped by policy investments including the expansion of Emergency Obstetric Care, free maternity services, and community health worker programmes [6,7]. The 2024 Malawi Demographic and Health Survey (MDHS) provides an opportunity to assess whether a decade of investment has translated into measurable change in how women engage with maternal health services. Prior analyses of single DHS indicators demonstrate aggregate improvements [8], but these approaches mask heterogeneity in the sequencing and quality of care-seeking across the full continuum.</w:t>
      </w:r>
    </w:p>
    <w:p>
      <w:pPr>
        <w:spacing w:after="100" w:before="60" w:line="480" w:lineRule="auto"/>
        <w:jc w:val="both"/>
      </w:pPr>
      <w:r>
        <w:rPr>
          <w:rFonts w:ascii="Times New Roman" w:cs="Times New Roman" w:eastAsia="Times New Roman" w:hAnsi="Times New Roman"/>
          <w:sz w:val="22"/>
          <w:szCs w:val="22"/>
        </w:rPr>
        <w:t xml:space="preserve">The “continuum of care” framework [9] positions antenatal care (ANC), skilled intrapartum care, and postnatal care (PNC) as interconnected phases in which engagement at each stage reinforces uptake at the next. Dropout at any point diminishes the cumulative protective benefit. Two women may each attend four ANC visits yet differ profoundly in the timing, quality, and clinical content of those visits, distinctions that carry meaningful implications for detection and management of complications. Single-indicator analyses fail to capture this multi-dimensional heterogeneity. Cluster analysis offers a data-driven alternative that identifies distinct patterns of care-seeking across multiple dimensions simultaneously, without requiring prior assumptions about how many groups exist or what they should look like [10,11].</w:t>
      </w:r>
    </w:p>
    <w:p>
      <w:pPr>
        <w:spacing w:after="100" w:before="60" w:line="480" w:lineRule="auto"/>
        <w:jc w:val="both"/>
      </w:pPr>
      <w:r>
        <w:rPr>
          <w:rFonts w:ascii="Times New Roman" w:cs="Times New Roman" w:eastAsia="Times New Roman" w:hAnsi="Times New Roman"/>
          <w:sz w:val="22"/>
          <w:szCs w:val="22"/>
        </w:rPr>
        <w:t xml:space="preserve">Several studies have applied cluster analysis to DHS maternal care data [12–14], consistently identifying two to four distinct utilisation patterns and demonstrating associations with sociodemographic factors. However, comparative studies that span two DHS surveys and directly assess how these patterns evolved over time remain scarce, particularly for Malawi where such evidence is needed to inform health policy. This study aimed to: (1) identify distinct patterns of maternal health care utilisation in the 2015 and 2024 MDHS; (2) compare the prevalence and profiles of these patterns across survey rounds; (3) examine whether sociodemographic gradients in group membership narrowed between 2015 and 2024; and (4) identify the sociodemographic factors most strongly associated with group membership.</w:t>
      </w:r>
    </w:p>
    <w:p>
      <w:pPr>
        <w:pageBreakBefore/>
      </w:pPr>
    </w:p>
    <w:p>
      <w:pPr>
        <w:pStyle w:val="Heading1"/>
        <w:spacing w:after="100" w:before="320"/>
      </w:pPr>
      <w:r>
        <w:rPr>
          <w:rFonts w:ascii="Times New Roman" w:cs="Times New Roman" w:eastAsia="Times New Roman" w:hAnsi="Times New Roman"/>
          <w:b/>
          <w:bCs/>
          <w:color w:val="1F3864"/>
          <w:sz w:val="28"/>
          <w:szCs w:val="28"/>
        </w:rPr>
        <w:t xml:space="preserve">Methods</w:t>
      </w:r>
    </w:p>
    <w:p>
      <w:pPr>
        <w:spacing w:after="100" w:before="60" w:line="480" w:lineRule="auto"/>
        <w:jc w:val="both"/>
      </w:pPr>
      <w:r>
        <w:rPr>
          <w:rFonts w:ascii="Times New Roman" w:cs="Times New Roman" w:eastAsia="Times New Roman" w:hAnsi="Times New Roman"/>
          <w:sz w:val="22"/>
          <w:szCs w:val="22"/>
        </w:rPr>
        <w:t xml:space="preserve">We used individual recode datasets from two nationally representative MDHS surveys: MDHS 2015 (dataset MWIR7AFL; n = 24,562 women aged 15–49) and MDHS 2024 (dataset MWIR81FL; n = 21,587). Both employ stratified two-stage cluster sampling with probability-proportional-to-size selection. The study population was restricted to women with at least one live birth in the five years preceding interview (MDHS 2015: n = 13,448; MDHS 2024: n = 10,536), ensuring that utilisation variables referenced a recent and comparable pregnancy. Women with missing data on any clustering variable were excluded under a complete-case approach: 418 women in 2015 (3.1%) and 3,611 in 2024 (34.3%), yielding analysis samples of </w:t>
      </w:r>
      <w:r>
        <w:rPr>
          <w:rFonts w:ascii="Times New Roman" w:cs="Times New Roman" w:eastAsia="Times New Roman" w:hAnsi="Times New Roman"/>
          <w:b/>
          <w:bCs/>
          <w:sz w:val="22"/>
          <w:szCs w:val="22"/>
        </w:rPr>
        <w:t xml:space="preserve">n = 13,030 (2015)</w:t>
      </w:r>
      <w:r>
        <w:rPr>
          <w:rFonts w:ascii="Times New Roman" w:cs="Times New Roman" w:eastAsia="Times New Roman" w:hAnsi="Times New Roman"/>
          <w:sz w:val="22"/>
          <w:szCs w:val="22"/>
        </w:rPr>
        <w:t xml:space="preserve"> and </w:t>
      </w:r>
      <w:r>
        <w:rPr>
          <w:rFonts w:ascii="Times New Roman" w:cs="Times New Roman" w:eastAsia="Times New Roman" w:hAnsi="Times New Roman"/>
          <w:b/>
          <w:bCs/>
          <w:sz w:val="22"/>
          <w:szCs w:val="22"/>
        </w:rPr>
        <w:t xml:space="preserve">n = 6,925 (2024)</w:t>
      </w:r>
      <w:r>
        <w:rPr>
          <w:rFonts w:ascii="Times New Roman" w:cs="Times New Roman" w:eastAsia="Times New Roman" w:hAnsi="Times New Roman"/>
          <w:sz w:val="22"/>
          <w:szCs w:val="22"/>
        </w:rPr>
        <w:t xml:space="preserve">. The higher exclusion proportion in 2024 reflects the structure of the 2024 survey instrument, as women who did not attend ANC were not asked follow-up questions on visit timing or count, generating structurally missing data that appropriately represents non-engagement.</w:t>
      </w:r>
    </w:p>
    <w:p>
      <w:pPr>
        <w:spacing w:after="100" w:before="60" w:line="480" w:lineRule="auto"/>
        <w:jc w:val="both"/>
      </w:pPr>
      <w:r>
        <w:rPr>
          <w:rFonts w:ascii="Times New Roman" w:cs="Times New Roman" w:eastAsia="Times New Roman" w:hAnsi="Times New Roman"/>
          <w:sz w:val="22"/>
          <w:szCs w:val="22"/>
        </w:rPr>
        <w:t xml:space="preserve">Eleven utilisation features were extracted and harmonised across survey rounds using standard DHS variable names. Where variable coding differed between rounds, specifically for place of delivery, residence, and wealth quintile, empirically derived coding schemes were applied and documented. Features spanned three domains. Antenatal care variables included: month of first ANC visit (continuous, 1–9); total ANC visits (continuous, capped at 20); skilled ANC provider (binary: doctor or nurse/midwife); early ANC initiation (binary: first visit within the first trimester); adequate ANC (binary: four or more visits, WHO minimum); optimal ANC (binary: eight or more visits, updated WHO 2016 guideline [15]); and whether the woman was informed about danger signs (binary). Delivery care variables included: facility delivery (binary); skilled birth attendant (binary: doctor or nurse/midwife); and caesarean section (binary). The postnatal care domain was captured by a single binary variable for PNC receipt. Sociodemographic variables, including age, age group, residence, wealth quintile, education, parity, region, marital status, and perceived distance to facility, were extracted for validation and predictor analyses only and were not included in clustering.</w:t>
      </w:r>
    </w:p>
    <w:p>
      <w:pPr>
        <w:spacing w:after="100" w:before="60" w:line="480" w:lineRule="auto"/>
        <w:jc w:val="both"/>
      </w:pPr>
      <w:r>
        <w:rPr>
          <w:rFonts w:ascii="Times New Roman" w:cs="Times New Roman" w:eastAsia="Times New Roman" w:hAnsi="Times New Roman"/>
          <w:sz w:val="22"/>
          <w:szCs w:val="22"/>
        </w:rPr>
        <w:t xml:space="preserve">We used a statistical grouping method called Gaussian Mixture Model (GMM) clustering, applied independently to each survey year, to identify distinct patterns of care utilisation. Rather than forcing each woman into a single rigid group, GMM estimates the probability that each woman belongs to each group, making it well suited to care-seeking data where the boundaries between patterns are not always clear-cut. Solutions with two to six groups were tested per year, each run ten times with different starting conditions to ensure stable results. The best number of groups was chosen using two standard statistical fit criteria: the Bayesian Information Criterion (which identifies the simplest model that fits the data well) and the silhouette coefficient (which measures how clearly separated the groups are). These were combined in a weighted score (60% and 40%, respectively), with the requirement that every group contain at least 5% of women to ensure meaningful group sizes. All continuous indicators were standardised before fitting. A density-based clustering approach was also run as a sensitivity check.</w:t>
      </w:r>
    </w:p>
    <w:p>
      <w:pPr>
        <w:spacing w:after="100" w:before="60" w:line="480" w:lineRule="auto"/>
        <w:jc w:val="both"/>
      </w:pPr>
      <w:r>
        <w:rPr>
          <w:rFonts w:ascii="Times New Roman" w:cs="Times New Roman" w:eastAsia="Times New Roman" w:hAnsi="Times New Roman"/>
          <w:sz w:val="22"/>
          <w:szCs w:val="22"/>
        </w:rPr>
        <w:t xml:space="preserve">To compare groups across the two survey years, each 2024 group was matched to its closest 2015 counterpart using an optimal assignment procedure (the Hungarian algorithm). This method finds the best one-to-one pairing between the two sets of groups by minimising the total difference in their care profiles across all eleven indicators, enabling direct tracking of how each pattern changed over time. All analyses were conducted in Python.</w:t>
      </w:r>
    </w:p>
    <w:p>
      <w:pPr>
        <w:spacing w:after="100" w:before="60" w:line="480" w:lineRule="auto"/>
        <w:jc w:val="both"/>
      </w:pPr>
      <w:r>
        <w:rPr>
          <w:rFonts w:ascii="Times New Roman" w:cs="Times New Roman" w:eastAsia="Times New Roman" w:hAnsi="Times New Roman"/>
          <w:sz w:val="22"/>
          <w:szCs w:val="22"/>
        </w:rPr>
        <w:t xml:space="preserve">We examined how group membership varied across four sociodemographic factors: place of residence (urban/rural), household wealth (five quintiles from poorest to richest), age group (adolescent 15–19; young adult 20–34; older 35–49), and education level. Chi-square tests assessed whether these differences were statistically significant, and Cramér’s V measured the strength of association (below 0.1 = weak; 0.1–0.3 = moderate; above 0.3 = strong). To identify which factors best predicted group membership, we used two complementary approaches: multinomial logistic regression, which estimates adjusted odds ratios for belonging to each group while simultaneously accounting for all other sociodemographic factors; and Random Forest, a machine learning method that ranks each factor by how much it improves the separation between groups, with accuracy assessed by cross-validation across five data splits. Both approaches were run separately per survey year to allow direct temporal comparison. Both DHS surveys were conducted under protocols approved by the ICF Institutional Review Board and the Malawi National Health Sciences Research Committee. Participation was voluntary and data are anonymised; secondary analysis of publicly available de-identified data does not require additional ethics approval.</w:t>
      </w:r>
    </w:p>
    <w:p>
      <w:pPr>
        <w:pageBreakBefore/>
      </w:pPr>
    </w:p>
    <w:p>
      <w:pPr>
        <w:pStyle w:val="Heading1"/>
        <w:spacing w:after="100" w:before="320"/>
      </w:pPr>
      <w:r>
        <w:rPr>
          <w:rFonts w:ascii="Times New Roman" w:cs="Times New Roman" w:eastAsia="Times New Roman" w:hAnsi="Times New Roman"/>
          <w:b/>
          <w:bCs/>
          <w:color w:val="1F3864"/>
          <w:sz w:val="28"/>
          <w:szCs w:val="28"/>
        </w:rPr>
        <w:t xml:space="preserve">Results</w:t>
      </w:r>
    </w:p>
    <w:p>
      <w:pPr>
        <w:spacing w:after="100" w:before="60" w:line="480" w:lineRule="auto"/>
        <w:jc w:val="both"/>
      </w:pPr>
      <w:r>
        <w:rPr>
          <w:rFonts w:ascii="Times New Roman" w:cs="Times New Roman" w:eastAsia="Times New Roman" w:hAnsi="Times New Roman"/>
          <w:sz w:val="22"/>
          <w:szCs w:val="22"/>
        </w:rPr>
        <w:t xml:space="preserve">The sociodemographic characteristics of the two analytic samples are summarised in Table 1. The 2024 sample was significantly younger (mean age 26.9 ± 6.9 vs 28.1 ± 7.0 years; p &lt; 0.001), with a notably higher proportion of adolescent women aged 15–19 years (13.4% vs 8.5%). Women in 2024 had lower mean parity (2.7 ± 1.8 vs 3.3 ± 2.1; p &lt; 0.001) and were less likely to be married (69.6% vs 76.9%; p &lt; 0.001), consistent with trends toward later marriage and smaller family sizes. The education profile improved markedly: the proportion with no formal education halved from 11.6% to 6.2%, while secondary education rose from 21.4% to 25.8% (overall p &lt; 0.001). Both samples were predominantly rural (82.7% and 81.3% respectively; p = 0.013), with similar regional distributions (p = 0.058). The proportion reporting distance as a barrier to care declined from 53.4% to 49.3% (p &lt; 0.001).</w:t>
      </w:r>
    </w:p>
    <w:p>
      <w:pPr>
        <w:spacing w:after="100" w:before="60" w:line="480" w:lineRule="auto"/>
        <w:jc w:val="both"/>
      </w:pPr>
      <w:r>
        <w:rPr>
          <w:rFonts w:ascii="Times New Roman" w:cs="Times New Roman" w:eastAsia="Times New Roman" w:hAnsi="Times New Roman"/>
          <w:sz w:val="22"/>
          <w:szCs w:val="22"/>
        </w:rPr>
        <w:t xml:space="preserve">The 2015 analysis sample comprised </w:t>
      </w:r>
      <w:r>
        <w:rPr>
          <w:rFonts w:ascii="Times New Roman" w:cs="Times New Roman" w:eastAsia="Times New Roman" w:hAnsi="Times New Roman"/>
          <w:b/>
          <w:bCs/>
          <w:sz w:val="22"/>
          <w:szCs w:val="22"/>
        </w:rPr>
        <w:t xml:space="preserve">13,030 women</w:t>
      </w:r>
      <w:r>
        <w:rPr>
          <w:rFonts w:ascii="Times New Roman" w:cs="Times New Roman" w:eastAsia="Times New Roman" w:hAnsi="Times New Roman"/>
          <w:sz w:val="22"/>
          <w:szCs w:val="22"/>
        </w:rPr>
        <w:t xml:space="preserve"> (mean age 28.1 years) and the 2024 sample comprised </w:t>
      </w:r>
      <w:r>
        <w:rPr>
          <w:rFonts w:ascii="Times New Roman" w:cs="Times New Roman" w:eastAsia="Times New Roman" w:hAnsi="Times New Roman"/>
          <w:b/>
          <w:bCs/>
          <w:sz w:val="22"/>
          <w:szCs w:val="22"/>
        </w:rPr>
        <w:t xml:space="preserve">6,925 women</w:t>
      </w:r>
      <w:r>
        <w:rPr>
          <w:rFonts w:ascii="Times New Roman" w:cs="Times New Roman" w:eastAsia="Times New Roman" w:hAnsi="Times New Roman"/>
          <w:sz w:val="22"/>
          <w:szCs w:val="22"/>
        </w:rPr>
        <w:t xml:space="preserve"> (Table 1). Both samples were predominantly rural (approximately 83% in 2015 and 81% in 2024). Between survey rounds, all ANC indicators improved significantly (Table 3). Most notably, </w:t>
      </w:r>
      <w:r>
        <w:rPr>
          <w:rFonts w:ascii="Times New Roman" w:cs="Times New Roman" w:eastAsia="Times New Roman" w:hAnsi="Times New Roman"/>
          <w:b/>
          <w:bCs/>
          <w:sz w:val="22"/>
          <w:szCs w:val="22"/>
        </w:rPr>
        <w:t xml:space="preserve">early ANC initiation</w:t>
      </w:r>
      <w:r>
        <w:rPr>
          <w:rFonts w:ascii="Times New Roman" w:cs="Times New Roman" w:eastAsia="Times New Roman" w:hAnsi="Times New Roman"/>
          <w:sz w:val="22"/>
          <w:szCs w:val="22"/>
        </w:rPr>
        <w:t xml:space="preserve"> increased from 26.0% to 57.5%, the largest single improvement observed across all indicators. Mean first ANC visit month advanced from 4.45 to 3.34 months into pregnancy (p &lt; 0.001). Adequate ANC coverage increased from 51.9% to 66.6% (p &lt; 0.001), and skilled birth attendance rose from 92.0% to 97.1% (p &lt; 0.001). Facility delivery also improved from 94.8% to 97.6% (p &lt; 0.001), while the caesarean section rate increased from 7.0% to 11.5% (p &lt; 0.001). PNC receipt declined marginally from 45.1% to 43.2% (p = 0.013), and reporting of being informed about danger signs was stable (25.3% vs 24.8%; p = 0.421).</w:t>
      </w:r>
    </w:p>
    <w:p>
      <w:pPr>
        <w:spacing w:after="0" w:before="120"/>
      </w:pPr>
    </w:p>
    <w:p>
      <w:pPr>
        <w:spacing w:after="40" w:before="120"/>
        <w:jc w:val="center"/>
      </w:pPr>
      <w:r>
        <w:drawing>
          <wp:inline distT="0" distB="0" distL="0" distR="0">
            <wp:extent cx="5857875" cy="2257425"/>
            <wp:effectExtent t="0" r="0" b="0" l="0"/>
            <wp:docPr id="1" name="Fig1" descr="Model selection BIC and silhouette coefficient plo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57875" cy="2257425"/>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Figure 1. Model selection for GMM clustering: normalised BIC (left axis, lower is better) and silhouette coefficient (right axis, higher is better) across K = 2–6 for MDHS 2015 (left panel) and MDHS 2024 (right panel). The dashed vertical red line marks the selected optimal K.</w:t>
      </w:r>
    </w:p>
    <w:p>
      <w:pPr>
        <w:spacing w:after="100" w:before="60" w:line="480" w:lineRule="auto"/>
        <w:jc w:val="both"/>
      </w:pPr>
      <w:r>
        <w:rPr>
          <w:rFonts w:ascii="Times New Roman" w:cs="Times New Roman" w:eastAsia="Times New Roman" w:hAnsi="Times New Roman"/>
          <w:sz w:val="22"/>
          <w:szCs w:val="22"/>
        </w:rPr>
        <w:t xml:space="preserve">Statistical fit criteria identified four distinct groups as optimal for 2015 (each comprising at least 7% of women) and three groups for 2024 (each at least 5%). Their profiles are summarised in Table 4, with a visual representation of individual women’s assignments shown in Figure 6.</w:t>
      </w:r>
    </w:p>
    <w:p>
      <w:pPr>
        <w:spacing w:after="100" w:before="60" w:line="480" w:lineRule="auto"/>
        <w:jc w:val="both"/>
      </w:pPr>
      <w:r>
        <w:rPr>
          <w:rFonts w:ascii="Times New Roman" w:cs="Times New Roman" w:eastAsia="Times New Roman" w:hAnsi="Times New Roman"/>
          <w:sz w:val="22"/>
          <w:szCs w:val="22"/>
        </w:rPr>
        <w:t xml:space="preserve">In 2015, four distinct utilisation patterns were identified. The largest group, comprising 60.1% of women (n = 7,828), showed late ANC initiation (mean first visit at 5.0 months into pregnancy), very low early initiation (0%), and adequate ANC in only 42.9% of women, yet near-universal facility delivery and skilled birth attendance. This “late ANC, universal facility delivery” pattern represents the dominant mode of care-seeking in 2015, in which women reliably arrived at health facilities for delivery but engaged insufficiently with the antenatal period. The second cluster (24.2%; n = 3,149) represented a comprehensive pattern, with early ANC initiation in 97.6% of women, mean first visit at 2.9 months, adequate ANC in 78.7%, near-universal facility delivery, and 46.0% receiving PNC. A third, smaller group (7.0%; n = 910) was characterised by universal caesarean section delivery, high facility-based care, and moderate ANC engagement. The fourth cluster (8.8%; n = 1,143) represented the most marginalised pattern: late ANC, adequate ANC in only 33.4% of women, low facility delivery (51.8%), and very low skilled birth attendance (26.5%), identifying a group with limited engagement across the entire continuum of care.</w:t>
      </w:r>
    </w:p>
    <w:p>
      <w:pPr>
        <w:spacing w:after="100" w:before="60" w:line="480" w:lineRule="auto"/>
        <w:jc w:val="both"/>
      </w:pPr>
      <w:r>
        <w:rPr>
          <w:rFonts w:ascii="Times New Roman" w:cs="Times New Roman" w:eastAsia="Times New Roman" w:hAnsi="Times New Roman"/>
          <w:sz w:val="22"/>
          <w:szCs w:val="22"/>
        </w:rPr>
        <w:t xml:space="preserve">By 2024, the cluster structure had simplified to three patterns. The largest group (48.4%; n = 3,349) retained the “late ANC, facility delivery” profile seen in 2015, with late initiation (mean 4.3 months), low early ANC (17.5%), and adequate ANC in only 35.3%, alongside universal facility delivery and skilled birth attendance. The second cluster (46.7%; n = 3,232) represented the high-coverage pattern, with near-universal early ANC initiation (99.2%), a mean first visit at 2.4 months, 100% adequate ANC, universal facility delivery and skilled birth attendance, a 13.6% caesarean section rate, and 45.6% receiving PNC. A third, small group (5.0%; n = 344) showed moderate ANC engagement but substantially lower facility delivery (50.9%) and skilled birth attendance (40.7%).</w:t>
      </w:r>
    </w:p>
    <w:p>
      <w:pPr>
        <w:spacing w:after="0" w:before="120"/>
      </w:pPr>
    </w:p>
    <w:p>
      <w:pPr>
        <w:spacing w:after="40" w:before="120"/>
        <w:jc w:val="center"/>
      </w:pPr>
      <w:r>
        <w:drawing>
          <wp:inline distT="0" distB="0" distL="0" distR="0">
            <wp:extent cx="5857875" cy="3219450"/>
            <wp:effectExtent t="0" r="0" b="0" l="0"/>
            <wp:docPr id="1" name="Fig2a" descr="Cluster profiles of maternal care utilisation indicators, MDHS 2015" title="Figure 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57875" cy="3219450"/>
                    </a:xfrm>
                    <a:prstGeom prst="rect">
                      <a:avLst/>
                    </a:prstGeom>
                  </pic:spPr>
                </pic:pic>
              </a:graphicData>
            </a:graphic>
          </wp:inline>
        </w:drawing>
      </w:r>
    </w:p>
    <w:p>
      <w:pPr>
        <w:spacing w:after="100" w:before="40"/>
        <w:jc w:val="center"/>
      </w:pPr>
      <w:r>
        <w:rPr>
          <w:rFonts w:ascii="Times New Roman" w:cs="Times New Roman" w:eastAsia="Times New Roman" w:hAnsi="Times New Roman"/>
          <w:i/>
          <w:iCs/>
          <w:sz w:val="18"/>
          <w:szCs w:val="18"/>
        </w:rPr>
        <w:t xml:space="preserve">Figure 2a. Cluster profiles of maternal care utilisation indicators, MDHS 2015 (K = 4). Bars show mean values per cluster: first ANC visit (months) and ANC visits (mean count) as raw means; all binary indicators as percentages.</w:t>
      </w:r>
    </w:p>
    <w:p>
      <w:pPr>
        <w:spacing w:after="0" w:before="80"/>
      </w:pPr>
    </w:p>
    <w:p>
      <w:pPr>
        <w:spacing w:after="40" w:before="80"/>
        <w:jc w:val="center"/>
      </w:pPr>
      <w:r>
        <w:drawing>
          <wp:inline distT="0" distB="0" distL="0" distR="0">
            <wp:extent cx="5857875" cy="3219450"/>
            <wp:effectExtent t="0" r="0" b="0" l="0"/>
            <wp:docPr id="1" name="Fig2b" descr="Cluster profiles of maternal care utilisation indicators, MDHS 2024" title="Figure 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57875" cy="32194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Figure 2b. Cluster profiles of maternal care utilisation indicators, MDHS 2024 (K = 3). Bars show mean values per cluster: first ANC visit (months) and ANC visits (mean count) as raw means; all binary indicators as percentages.</w:t>
      </w:r>
    </w:p>
    <w:p>
      <w:pPr>
        <w:spacing w:after="100" w:before="60" w:line="480" w:lineRule="auto"/>
        <w:jc w:val="both"/>
      </w:pPr>
      <w:r>
        <w:rPr>
          <w:rFonts w:ascii="Times New Roman" w:cs="Times New Roman" w:eastAsia="Times New Roman" w:hAnsi="Times New Roman"/>
          <w:sz w:val="22"/>
          <w:szCs w:val="22"/>
        </w:rPr>
        <w:t xml:space="preserve">Cross-year alignment using the Hungarian algorithm mapped the 2024 high-coverage cluster to the 2015 comprehensive cluster (centroid distance = 0.77), the 2024 late ANC/facility cluster to its 2015 counterpart (distance = 0.78), and the 2024 moderate ANC/limited delivery cluster to the 2015 caesarean cluster (distance = 1.50). The most striking temporal shift was the near-doubling of the high-coverage cluster, from 24.2% in 2015 to 46.7% in 2024, an absolute gain of 22.5 percent. Correspondingly, the late ANC/facility delivery cluster declined from 60.1% to 48.4%, and the 2015 minimal utilisation cluster, previously affecting nearly one in nine women, had no identifiable analogue in 2024, indicating that this group had been largely incorporated into the formal health system.</w:t>
      </w:r>
    </w:p>
    <w:p>
      <w:pPr>
        <w:pBdr>
          <w:top w:val="dashed" w:color="888888" w:sz="6" w:space="6"/>
          <w:bottom w:val="dashed" w:color="888888" w:sz="6" w:space="6"/>
          <w:left w:val="dashed" w:color="888888" w:sz="6" w:space="6"/>
          <w:right w:val="dashed" w:color="888888" w:sz="6" w:space="6"/>
        </w:pBdr>
        <w:shd w:fill="F5F5F5" w:val="clear"/>
        <w:spacing w:after="160" w:before="160"/>
        <w:jc w:val="center"/>
      </w:pPr>
      <w:r>
        <w:rPr>
          <w:rFonts w:ascii="Times New Roman" w:cs="Times New Roman" w:eastAsia="Times New Roman" w:hAnsi="Times New Roman"/>
          <w:b/>
          <w:bCs/>
          <w:i/>
          <w:iCs/>
          <w:color w:val="555555"/>
          <w:sz w:val="20"/>
          <w:szCs w:val="20"/>
        </w:rPr>
        <w:t xml:space="preserve">INSERT FIGURE 3 ABOUT HERE — Temporal change: cluster prevalences, feature differences, PCA centroids</w:t>
      </w:r>
    </w:p>
    <w:p>
      <w:pPr>
        <w:spacing w:after="100" w:before="60" w:line="480" w:lineRule="auto"/>
        <w:jc w:val="both"/>
      </w:pPr>
      <w:r>
        <w:rPr>
          <w:rFonts w:ascii="Times New Roman" w:cs="Times New Roman" w:eastAsia="Times New Roman" w:hAnsi="Times New Roman"/>
          <w:sz w:val="22"/>
          <w:szCs w:val="22"/>
        </w:rPr>
        <w:t xml:space="preserve">Cluster membership was significantly associated with residence in both survey rounds (Table 5). In 2015, the association was medium-strength (Cramér’s V = 0.123; p &lt; 0.001), with rural women showing markedly higher rates of minimal utilisation (9.7% vs 4.5%). By 2024, the association weakened substantially (V = 0.055; p &lt; 0.001), and the high-coverage cluster prevalence was 51.5% among urban women compared to 45.6% among rural women. Both groups showed large improvements, with rural women’s high-coverage rates increasing from 24.4% to 45.6%. A significant socioeconomic gradient was present in both years, though the effect size narrowed (2015: V = 0.090; 2024: V = 0.059; both p &lt; 0.001). In 2015, minimal utilisation was four times more common among the poorest quintile (11.6%) than the richest (4.6%). By 2024, both extremes showed large improvements: high-coverage care was present in 53.2% of the richest compared to 43.5% of the poorest women, with a gap of 9.7 percent. Age-group associations were significant in both years with stable but small effect sizes (2015: V = 0.046; 2024: V = 0.042). In 2015, adolescent women aged 15–19 showed the lowest rates of comprehensive care (19.7%) and the highest rates of late ANC/facility delivery (66.0%), compared with young adults aged 20–34, among whom comprehensive care stood at 24.6%. In 2024, adolescents showed a large absolute improvement, with 43.3% in the high-coverage cluster, yet a gap of 4.9 percent relative to young adults (48.2%) persisted. Education was significantly associated with cluster membership in both years (2015: V = 0.089; 2024: V = 0.066), with higher-educated women more likely to be in the comprehensive or high-coverage cluster.</w:t>
      </w:r>
    </w:p>
    <w:p>
      <w:pPr>
        <w:pBdr>
          <w:top w:val="dashed" w:color="888888" w:sz="6" w:space="6"/>
          <w:bottom w:val="dashed" w:color="888888" w:sz="6" w:space="6"/>
          <w:left w:val="dashed" w:color="888888" w:sz="6" w:space="6"/>
          <w:right w:val="dashed" w:color="888888" w:sz="6" w:space="6"/>
        </w:pBdr>
        <w:shd w:fill="F5F5F5" w:val="clear"/>
        <w:spacing w:after="160" w:before="160"/>
        <w:jc w:val="center"/>
      </w:pPr>
      <w:r>
        <w:rPr>
          <w:rFonts w:ascii="Times New Roman" w:cs="Times New Roman" w:eastAsia="Times New Roman" w:hAnsi="Times New Roman"/>
          <w:b/>
          <w:bCs/>
          <w:i/>
          <w:iCs/>
          <w:color w:val="555555"/>
          <w:sz w:val="20"/>
          <w:szCs w:val="20"/>
        </w:rPr>
        <w:t xml:space="preserve">INSERT FIGURE 4 ABOUT HERE — Cluster prevalence by residence, wealth quintile and age group</w:t>
      </w:r>
    </w:p>
    <w:p>
      <w:pPr>
        <w:spacing w:after="100" w:before="60" w:line="480" w:lineRule="auto"/>
        <w:jc w:val="both"/>
      </w:pPr>
      <w:r>
        <w:rPr>
          <w:rFonts w:ascii="Times New Roman" w:cs="Times New Roman" w:eastAsia="Times New Roman" w:hAnsi="Times New Roman"/>
          <w:sz w:val="22"/>
          <w:szCs w:val="22"/>
        </w:rPr>
        <w:t xml:space="preserve">The ability to predict group membership from sociodemographic factors alone was modest but improved between survey years (cross-validated macro F1: 0.22 in 2015 versus 0.33 in 2024). In 2024, the high-coverage and late ANC/facility groups were most accurately identified (F1 scores of 0.43 and 0.47 respectively), while the small moderate ANC/limited delivery group was the hardest to distinguish sociodemographically (F1 = 0.09), suggesting its members are sociodemographically diverse. In both years, parity and age were the strongest predictors of group membership (Table 6). In 2015, the ranking was: parity (MDI = 0.185), age (0.182), richest wealth quintile (0.119), urban residence (0.106), and region (0.081). By 2024, the ordering shifted to: age (0.287), parity (0.173), region (0.100), perceived distance to facility (0.064), and marital status (0.057). This shift suggests that as financial barriers to care have been progressively addressed, geographic access and social factors have become the dominant drivers of differences in care-seeking behaviour.</w:t>
      </w:r>
    </w:p>
    <w:p>
      <w:pPr>
        <w:pBdr>
          <w:top w:val="dashed" w:color="888888" w:sz="6" w:space="6"/>
          <w:bottom w:val="dashed" w:color="888888" w:sz="6" w:space="6"/>
          <w:left w:val="dashed" w:color="888888" w:sz="6" w:space="6"/>
          <w:right w:val="dashed" w:color="888888" w:sz="6" w:space="6"/>
        </w:pBdr>
        <w:shd w:fill="F5F5F5" w:val="clear"/>
        <w:spacing w:after="160" w:before="160"/>
        <w:jc w:val="center"/>
      </w:pPr>
      <w:r>
        <w:rPr>
          <w:rFonts w:ascii="Times New Roman" w:cs="Times New Roman" w:eastAsia="Times New Roman" w:hAnsi="Times New Roman"/>
          <w:b/>
          <w:bCs/>
          <w:i/>
          <w:iCs/>
          <w:color w:val="555555"/>
          <w:sz w:val="20"/>
          <w:szCs w:val="20"/>
        </w:rPr>
        <w:t xml:space="preserve">INSERT FIGURE 5 ABOUT HERE — Random Forest variable importance and per-cluster F1</w:t>
      </w:r>
    </w:p>
    <w:p>
      <w:pPr>
        <w:spacing w:after="100" w:before="60" w:line="480" w:lineRule="auto"/>
        <w:jc w:val="both"/>
      </w:pPr>
      <w:r>
        <w:rPr>
          <w:rFonts w:ascii="Times New Roman" w:cs="Times New Roman" w:eastAsia="Times New Roman" w:hAnsi="Times New Roman"/>
          <w:sz w:val="22"/>
          <w:szCs w:val="22"/>
        </w:rPr>
        <w:t xml:space="preserve">Multinomial logistic regression with the late ANC/facility delivery group as reference provided adjusted odds ratios for all sociodemographic predictors simultaneously (Table 7; McFadden R² = 0.023 in 2015 and 0.011 in 2024). Reference categories within predictors were rural residence, poorest wealth quintile, and no education. In 2015, membership in the C-section group was significantly predicted by older age (OR per year: 1.06; 95% CI 1.04–1.08; p &lt; 0.001), lower parity (0.73; 0.68–0.79; p &lt; 0.001), urban residence (1.24; 1.02–1.50; p = 0.031), higher wealth (richer vs poorest: 1.71, 1.33–2.19; richest vs poorest: 2.09, 1.58–2.75; both p &lt; 0.001), and higher education compared with no education (2.25; 1.41–3.61; p &lt; 0.001). The minimal utilisation group was characterised by higher parity (1.09; 1.04–1.16; p = 0.001), greater perceived distance barrier to care (1.39; 1.22–1.59; p &lt; 0.001), lower urban residence odds (0.74; 0.58–0.94; p = 0.015), lower odds among richer (0.81; 0.67–0.99; p = 0.043) and richest (0.74; 0.57–0.97; p = 0.030) women compared to the poorest quintile, and markedly lower odds among women with secondary education (0.61; 0.47–0.79; p &lt; 0.001). Women in the comprehensive care group were more likely to be married (1.14; 1.03–1.27; p = 0.010), from the richest compared to the poorest wealth quintile (1.33; 1.13–1.56; p &lt; 0.001), to have higher education compared with no education (1.62; 1.14–2.28; p = 0.007), and less likely to reside in urban areas (0.82; 0.71–0.94; p = 0.004). In 2024, women in the high-coverage group were significantly more likely to be married (1.22; 1.09–1.36; p &lt; 0.001), of lower parity (0.91; 0.86–0.96; p = 0.001), marginally older (1.02; 1.00–1.03; p = 0.034), and to have higher education compared with no education (2.34; 1.53–3.58; p &lt; 0.001). No predictor reached statistical significance for the moderate ANC/limited delivery group in 2024.</w:t>
      </w:r>
    </w:p>
    <w:p>
      <w:pPr>
        <w:spacing w:after="0" w:before="120"/>
      </w:pPr>
    </w:p>
    <w:p>
      <w:pPr>
        <w:spacing w:after="40" w:before="120"/>
        <w:jc w:val="center"/>
      </w:pPr>
      <w:r>
        <w:drawing>
          <wp:inline distT="0" distB="0" distL="0" distR="0">
            <wp:extent cx="5905500" cy="2571750"/>
            <wp:effectExtent t="0" r="0" b="0" l="0"/>
            <wp:docPr id="1" name="Fig6" descr="PCA scatter plot of cluster assignment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717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Figure 6. PCA scatter plot of individual women by cluster membership (MDHS 2015 left, K = 4; MDHS 2024 right, K = 3). Each point represents one woman, coloured by cluster assignment. Stars mark cluster centroids. PC1 explains 25.1% of variance and PC2 explains 15.2% of variance.</w:t>
      </w:r>
    </w:p>
    <w:p>
      <w:pPr>
        <w:pageBreakBefore/>
      </w:pPr>
    </w:p>
    <w:p>
      <w:pPr>
        <w:pStyle w:val="Heading1"/>
        <w:spacing w:after="100" w:before="320"/>
      </w:pPr>
      <w:r>
        <w:rPr>
          <w:rFonts w:ascii="Times New Roman" w:cs="Times New Roman" w:eastAsia="Times New Roman" w:hAnsi="Times New Roman"/>
          <w:b/>
          <w:bCs/>
          <w:color w:val="1F3864"/>
          <w:sz w:val="28"/>
          <w:szCs w:val="28"/>
        </w:rPr>
        <w:t xml:space="preserve">Discussion</w:t>
      </w:r>
    </w:p>
    <w:p>
      <w:pPr>
        <w:spacing w:after="100" w:before="60" w:line="480" w:lineRule="auto"/>
        <w:jc w:val="both"/>
      </w:pPr>
      <w:r>
        <w:rPr>
          <w:rFonts w:ascii="Times New Roman" w:cs="Times New Roman" w:eastAsia="Times New Roman" w:hAnsi="Times New Roman"/>
          <w:sz w:val="22"/>
          <w:szCs w:val="22"/>
        </w:rPr>
        <w:t xml:space="preserve">This comparative unsupervised learning analysis of two nationally representative Malawian DHS surveys documents substantial progress in maternal health care utilisation between 2015 and 2024, while identifying persistent gaps requiring targeted policy attention. Five principal findings merit discussion.</w:t>
      </w:r>
    </w:p>
    <w:p>
      <w:pPr>
        <w:spacing w:after="100" w:before="60" w:line="480" w:lineRule="auto"/>
        <w:jc w:val="both"/>
      </w:pPr>
      <w:r>
        <w:rPr>
          <w:rFonts w:ascii="Times New Roman" w:cs="Times New Roman" w:eastAsia="Times New Roman" w:hAnsi="Times New Roman"/>
          <w:sz w:val="22"/>
          <w:szCs w:val="22"/>
        </w:rPr>
        <w:t xml:space="preserve">The structure of utilisation heterogeneity simplified markedly over the decade. A four-cluster solution best described the 2015 landscape; by 2024, a three-cluster solution sufficed. This consolidation reflects a shift of women who previously followed a minimal utilisation pattern into the broader formal health system, at least for intrapartum care, and a proportional increase in comprehensive care engagement. The most dramatic change was the near-doubling of the comprehensive care cluster, driven primarily by a 31.5 percent increase in early ANC initiation, the single largest change across all indicators. The effective dissolution of the minimal utilisation cluster is a meaningful programmatic achievement, consistent with documented improvements in facility delivery following Malawi’s free maternity services policy and health system strengthening investments [8,17]. In 2015, approximately one in nine women engaged minimally across the entire continuum; by 2024, no such identifiable group remained.</w:t>
      </w:r>
    </w:p>
    <w:p>
      <w:pPr>
        <w:spacing w:after="100" w:before="60" w:line="480" w:lineRule="auto"/>
        <w:jc w:val="both"/>
      </w:pPr>
      <w:r>
        <w:rPr>
          <w:rFonts w:ascii="Times New Roman" w:cs="Times New Roman" w:eastAsia="Times New Roman" w:hAnsi="Times New Roman"/>
          <w:sz w:val="22"/>
          <w:szCs w:val="22"/>
        </w:rPr>
        <w:t xml:space="preserve">Nonetheless, the dominant pattern across both survey rounds remained “late ANC with universal facility delivery”, affecting 60.1% of women in 2015 and still 48.4% in 2024. This profile, in which women reliably access skilled intrapartum care but engage late and insufficiently with ANC, is not unique to Malawi. Benova et al. [16] described an analogous pattern across multiple sub-Saharan settings, attributing it to the stronger perceived urgency of delivery care relative to the “wellness-oriented” framing of ANC. The persistence of this pattern despite decade-long investment in ANC promotion suggests that supply-side strategies alone are insufficient and that demand-side interventions targeting normative beliefs about ANC timing are needed.</w:t>
      </w:r>
    </w:p>
    <w:p>
      <w:pPr>
        <w:spacing w:after="100" w:before="60" w:line="480" w:lineRule="auto"/>
        <w:jc w:val="both"/>
      </w:pPr>
      <w:r>
        <w:rPr>
          <w:rFonts w:ascii="Times New Roman" w:cs="Times New Roman" w:eastAsia="Times New Roman" w:hAnsi="Times New Roman"/>
          <w:sz w:val="22"/>
          <w:szCs w:val="22"/>
        </w:rPr>
        <w:t xml:space="preserve">The narrowing of sociodemographic gradients across all four subgroups, residence, wealth quintile, age, and education, is encouraging evidence that programmatic gains have been broadly distributed. The decline in Cramér’s V for residence from 0.123 to 0.055 and for wealth from 0.090 to 0.059 indicates that comprehensive care is becoming less concentrated among privileged groups. That said, a 9.7 percent gap between the richest and poorest women in the high-coverage cluster in 2024 represents a remaining equity concern. The persistent disadvantage of adolescent women is similarly notable. Adolescents aged 15–19 showed the lowest high-coverage rates in both years and, while they improved substantially from 19.7% to 43.3%, the gap with young adults was essentially unchanged across survey rounds, suggesting that universal programmatic improvements benefited all groups proportionally rather than closing the adolescent-specific gap. This aligns with a robust literature documenting barriers specific to young women in Malawi, including fear of stigma at health facilities, lack of partner support, and limited availability of youth-friendly services [18,19].</w:t>
      </w:r>
    </w:p>
    <w:p>
      <w:pPr>
        <w:spacing w:after="100" w:before="60" w:line="480" w:lineRule="auto"/>
        <w:jc w:val="both"/>
      </w:pPr>
      <w:r>
        <w:rPr>
          <w:rFonts w:ascii="Times New Roman" w:cs="Times New Roman" w:eastAsia="Times New Roman" w:hAnsi="Times New Roman"/>
          <w:sz w:val="22"/>
          <w:szCs w:val="22"/>
        </w:rPr>
        <w:t xml:space="preserve">The shift in variable importance from wealth to age, parity, and perceived distance to facility is theoretically coherent with a maturing health system. As economic barriers are progressively mitigated through free care policies, geographic access and social factors emerge as the residual constraints on utilisation heterogeneity. This has direct programmatic implications: future interventions should prioritise geographic access for remote rural women and demand-side approaches, including peer support networks and reproductive autonomy programmes, for younger and higher-parity women. The finding that optimal ANC coverage of eight or more visits (per updated WHO 2016 guidelines) increased from only 1.4% to 2.9% highlights a further area in which quantity of ANC contact has improved while depth of engagement has not.</w:t>
      </w:r>
    </w:p>
    <w:p>
      <w:pPr>
        <w:spacing w:after="100" w:before="60" w:line="480" w:lineRule="auto"/>
        <w:jc w:val="both"/>
      </w:pPr>
      <w:r>
        <w:rPr>
          <w:rFonts w:ascii="Times New Roman" w:cs="Times New Roman" w:eastAsia="Times New Roman" w:hAnsi="Times New Roman"/>
          <w:sz w:val="22"/>
          <w:szCs w:val="22"/>
        </w:rPr>
        <w:t xml:space="preserve">This analysis has several strengths. It is among the first comparative unsupervised learning analyses spanning two Malawi DHS waves, enabling direct temporal assessment of utilisation pattern evolution. The use of harmonised clustering features across both rounds, principled composite model selection criteria, and validation through subgroup and predictor analyses adds methodological rigour, and the large nationally representative samples support generalisability to the full population of Malawian women of reproductive age.</w:t>
      </w:r>
    </w:p>
    <w:p>
      <w:pPr>
        <w:spacing w:after="100" w:before="60" w:line="480" w:lineRule="auto"/>
        <w:jc w:val="both"/>
      </w:pPr>
      <w:r>
        <w:rPr>
          <w:rFonts w:ascii="Times New Roman" w:cs="Times New Roman" w:eastAsia="Times New Roman" w:hAnsi="Times New Roman"/>
          <w:sz w:val="22"/>
          <w:szCs w:val="22"/>
        </w:rPr>
        <w:t xml:space="preserve">Several limitations deserve acknowledgement. The complete-case exclusion rate in 2024 (34.3% of eligible women) was high, driven primarily by structural non-response among women who did not attend ANC. While analytically appropriate, this may mean that the 2024 analysis sample over-represents women who engaged with the health system, and results may not fully generalise to non-attenders. The differing optimal cluster solutions across years (K = 4 in 2015 and K = 3 in 2024) required cross-year alignment rather than direct comparison, and the least similar matched pair of groups (dissimilarity score = 1.50) should be interpreted with caution. The cross-sectional design precludes causal inference, and the nine-year interval captures cumulative policy effects without attributing change to specific programmes. The grouping method assumes that care utilisation patterns follow an approximately normal distribution within each group, which may not hold for all indicators. A sensitivity analysis using a density-based grouping approach would strengthen confidence in the robustness of results. Finally, the 2024 compressed DHS file used non-standard variable coding for residence, wealth, and place of delivery, requiring careful harmonisation.</w:t>
      </w:r>
    </w:p>
    <w:p>
      <w:pPr>
        <w:spacing w:after="100" w:before="60" w:line="480" w:lineRule="auto"/>
        <w:jc w:val="both"/>
      </w:pPr>
      <w:r>
        <w:rPr>
          <w:rFonts w:ascii="Times New Roman" w:cs="Times New Roman" w:eastAsia="Times New Roman" w:hAnsi="Times New Roman"/>
          <w:sz w:val="22"/>
          <w:szCs w:val="22"/>
        </w:rPr>
        <w:t xml:space="preserve">In conclusion, Malawi’s maternal health system achieved substantial and measurable progress in shifting women toward comprehensive engagement across the continuum of care between 2015 and 2024. The doubling of the high-coverage cluster, the effective elimination of the minimal utilisation cluster, and the narrowing of sociodemographic gradients testify to a decade of meaningful policy investment. At the same time, nearly half of women still initiate ANC late, adolescent women continue to be underrepresented in comprehensive care, and PNC receipt has not improved alongside other indicators. Closing these remaining gaps, through adolescent-targeted services, geographic access improvements, and postnatal care quality strengthening, will be essential for Malawi to achieve its SDG 3.1 maternal mortality targets.</w:t>
      </w:r>
    </w:p>
    <w:p>
      <w:pPr>
        <w:pageBreakBefore/>
      </w:pPr>
    </w:p>
    <w:p>
      <w:pPr>
        <w:pStyle w:val="Heading1"/>
        <w:spacing w:after="100" w:before="320"/>
      </w:pPr>
      <w:r>
        <w:rPr>
          <w:rFonts w:ascii="Times New Roman" w:cs="Times New Roman" w:eastAsia="Times New Roman" w:hAnsi="Times New Roman"/>
          <w:b/>
          <w:bCs/>
          <w:color w:val="1F3864"/>
          <w:sz w:val="28"/>
          <w:szCs w:val="28"/>
        </w:rPr>
        <w:t xml:space="preserve">Tables</w:t>
      </w:r>
    </w:p>
    <w:p>
      <w:pPr>
        <w:spacing w:after="60" w:before="240"/>
      </w:pPr>
      <w:r>
        <w:rPr>
          <w:rFonts w:ascii="Times New Roman" w:cs="Times New Roman" w:eastAsia="Times New Roman" w:hAnsi="Times New Roman"/>
          <w:b/>
          <w:bCs/>
          <w:sz w:val="22"/>
          <w:szCs w:val="22"/>
        </w:rPr>
        <w:t xml:space="preserve">Table 1. Sociodemographic Characteristics of the 2015 and 2024 Analytic Samples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40"/>
        <w:gridCol w:w="2040"/>
        <w:gridCol w:w="2160"/>
      </w:tblGrid>
      <w:tr>
        <w:tc>
          <w:tcPr>
            <w:tcW w:type="dxa" w:w="312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Characteristic</w:t>
            </w:r>
          </w:p>
        </w:tc>
        <w:tc>
          <w:tcPr>
            <w:tcW w:type="dxa" w:w="204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MDHS 2015
(n = 13,030)</w:t>
            </w:r>
          </w:p>
        </w:tc>
        <w:tc>
          <w:tcPr>
            <w:tcW w:type="dxa" w:w="204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MDHS 2024
(n = 6,925)</w:t>
            </w:r>
          </w:p>
        </w:tc>
        <w:tc>
          <w:tcPr>
            <w:tcW w:type="dxa" w:w="21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p-value</w:t>
            </w:r>
          </w:p>
        </w:tc>
      </w:tr>
      <w:tr>
        <w:tc>
          <w:tcPr>
            <w:tcW w:type="dxa" w:w="31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Age, years (mean ± SD)</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28.1 ± 7.0</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26.9 ± 6.9</w:t>
            </w:r>
          </w:p>
        </w:tc>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12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Age group, n (%)</w:t>
            </w:r>
          </w:p>
        </w:tc>
        <w:tc>
          <w:tcPr>
            <w:tcW w:type="dxa" w:w="204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
            </w:r>
          </w:p>
        </w:tc>
        <w:tc>
          <w:tcPr>
            <w:tcW w:type="dxa" w:w="204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
            </w:r>
          </w:p>
        </w:tc>
        <w:tc>
          <w:tcPr>
            <w:tcW w:type="dxa" w:w="2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1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Adolescent (15–19)</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1,109 (8.5%)</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928 (13.4%)</w:t>
            </w:r>
          </w:p>
        </w:tc>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
            </w:r>
          </w:p>
        </w:tc>
      </w:tr>
      <w:tr>
        <w:tc>
          <w:tcPr>
            <w:tcW w:type="dxa" w:w="31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Young adult (20–34)</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9,343 (71.7%)</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4,861 (70.2%)</w:t>
            </w:r>
          </w:p>
        </w:tc>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
            </w:r>
          </w:p>
        </w:tc>
      </w:tr>
      <w:tr>
        <w:tc>
          <w:tcPr>
            <w:tcW w:type="dxa" w:w="31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Older (35–49)</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2,578 (19.8%)</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1,136 (16.4%)</w:t>
            </w:r>
          </w:p>
        </w:tc>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
            </w:r>
          </w:p>
        </w:tc>
      </w:tr>
      <w:tr>
        <w:tc>
          <w:tcPr>
            <w:tcW w:type="dxa" w:w="312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Residence, n (%)</w:t>
            </w:r>
          </w:p>
        </w:tc>
        <w:tc>
          <w:tcPr>
            <w:tcW w:type="dxa" w:w="204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
            </w:r>
          </w:p>
        </w:tc>
        <w:tc>
          <w:tcPr>
            <w:tcW w:type="dxa" w:w="204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
            </w:r>
          </w:p>
        </w:tc>
        <w:tc>
          <w:tcPr>
            <w:tcW w:type="dxa" w:w="2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0.013</w:t>
            </w:r>
          </w:p>
        </w:tc>
      </w:tr>
      <w:tr>
        <w:tc>
          <w:tcPr>
            <w:tcW w:type="dxa" w:w="31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Urban</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2,257 (17.3%)</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1,298 (18.7%)</w:t>
            </w:r>
          </w:p>
        </w:tc>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
            </w:r>
          </w:p>
        </w:tc>
      </w:tr>
      <w:tr>
        <w:tc>
          <w:tcPr>
            <w:tcW w:type="dxa" w:w="31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Rural</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10,773 (82.7%)</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5,627 (81.3%)</w:t>
            </w:r>
          </w:p>
        </w:tc>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
            </w:r>
          </w:p>
        </w:tc>
      </w:tr>
      <w:tr>
        <w:tc>
          <w:tcPr>
            <w:tcW w:type="dxa" w:w="312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Wealth quintile, n (%)</w:t>
            </w:r>
          </w:p>
        </w:tc>
        <w:tc>
          <w:tcPr>
            <w:tcW w:type="dxa" w:w="204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
            </w:r>
          </w:p>
        </w:tc>
        <w:tc>
          <w:tcPr>
            <w:tcW w:type="dxa" w:w="204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
            </w:r>
          </w:p>
        </w:tc>
        <w:tc>
          <w:tcPr>
            <w:tcW w:type="dxa" w:w="2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1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Poorest</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2,767 (21.2%)</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1,527 (22.1%)</w:t>
            </w:r>
          </w:p>
        </w:tc>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
            </w:r>
          </w:p>
        </w:tc>
      </w:tr>
      <w:tr>
        <w:tc>
          <w:tcPr>
            <w:tcW w:type="dxa" w:w="31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Poorer</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2,715 (20.8%)</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1,208 (17.4%)</w:t>
            </w:r>
          </w:p>
        </w:tc>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
            </w:r>
          </w:p>
        </w:tc>
      </w:tr>
      <w:tr>
        <w:tc>
          <w:tcPr>
            <w:tcW w:type="dxa" w:w="31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Middle</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2,511 (19.3%)</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1,196 (17.3%)</w:t>
            </w:r>
          </w:p>
        </w:tc>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
            </w:r>
          </w:p>
        </w:tc>
      </w:tr>
      <w:tr>
        <w:tc>
          <w:tcPr>
            <w:tcW w:type="dxa" w:w="31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Richer</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2,510 (19.3%)</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1,289 (18.6%)</w:t>
            </w:r>
          </w:p>
        </w:tc>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
            </w:r>
          </w:p>
        </w:tc>
      </w:tr>
      <w:tr>
        <w:tc>
          <w:tcPr>
            <w:tcW w:type="dxa" w:w="31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Richest</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2,527 (19.4%)</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1,448 (20.9%)</w:t>
            </w:r>
          </w:p>
        </w:tc>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
            </w:r>
          </w:p>
        </w:tc>
      </w:tr>
      <w:tr>
        <w:tc>
          <w:tcPr>
            <w:tcW w:type="dxa" w:w="312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Education level, n (%)</w:t>
            </w:r>
          </w:p>
        </w:tc>
        <w:tc>
          <w:tcPr>
            <w:tcW w:type="dxa" w:w="204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
            </w:r>
          </w:p>
        </w:tc>
        <w:tc>
          <w:tcPr>
            <w:tcW w:type="dxa" w:w="204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
            </w:r>
          </w:p>
        </w:tc>
        <w:tc>
          <w:tcPr>
            <w:tcW w:type="dxa" w:w="2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1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No education</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1,516 (11.6%)</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427 (6.2%)</w:t>
            </w:r>
          </w:p>
        </w:tc>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
            </w:r>
          </w:p>
        </w:tc>
      </w:tr>
      <w:tr>
        <w:tc>
          <w:tcPr>
            <w:tcW w:type="dxa" w:w="31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Primary</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8,484 (65.1%)</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4,522 (65.3%)</w:t>
            </w:r>
          </w:p>
        </w:tc>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
            </w:r>
          </w:p>
        </w:tc>
      </w:tr>
      <w:tr>
        <w:tc>
          <w:tcPr>
            <w:tcW w:type="dxa" w:w="31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Secondary</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2,786 (21.4%)</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1,786 (25.8%)</w:t>
            </w:r>
          </w:p>
        </w:tc>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
            </w:r>
          </w:p>
        </w:tc>
      </w:tr>
      <w:tr>
        <w:tc>
          <w:tcPr>
            <w:tcW w:type="dxa" w:w="31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Higher</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244 (1.9%)</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190 (2.7%)</w:t>
            </w:r>
          </w:p>
        </w:tc>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
            </w:r>
          </w:p>
        </w:tc>
      </w:tr>
      <w:tr>
        <w:tc>
          <w:tcPr>
            <w:tcW w:type="dxa" w:w="31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Parity (mean ± SD)</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3.3 ± 2.1</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 ± 1.8</w:t>
            </w:r>
          </w:p>
        </w:tc>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1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Married, n (%)</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10,022 (76.9%)</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4,820 (69.6%)</w:t>
            </w:r>
          </w:p>
        </w:tc>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1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Distance barrier to care, n (%)</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6,963 (53.4%)</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3,417 (49.3%)</w:t>
            </w:r>
          </w:p>
        </w:tc>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12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Region, n (%)</w:t>
            </w:r>
          </w:p>
        </w:tc>
        <w:tc>
          <w:tcPr>
            <w:tcW w:type="dxa" w:w="204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
            </w:r>
          </w:p>
        </w:tc>
        <w:tc>
          <w:tcPr>
            <w:tcW w:type="dxa" w:w="204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
            </w:r>
          </w:p>
        </w:tc>
        <w:tc>
          <w:tcPr>
            <w:tcW w:type="dxa" w:w="2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0.058</w:t>
            </w:r>
          </w:p>
        </w:tc>
      </w:tr>
      <w:tr>
        <w:tc>
          <w:tcPr>
            <w:tcW w:type="dxa" w:w="31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Northern</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2,490 (19.1%)</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1,418 (20.5%)</w:t>
            </w:r>
          </w:p>
        </w:tc>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
            </w:r>
          </w:p>
        </w:tc>
      </w:tr>
      <w:tr>
        <w:tc>
          <w:tcPr>
            <w:tcW w:type="dxa" w:w="31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Central</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4,514 (34.6%)</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2,332 (33.7%)</w:t>
            </w:r>
          </w:p>
        </w:tc>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
            </w:r>
          </w:p>
        </w:tc>
      </w:tr>
      <w:tr>
        <w:tc>
          <w:tcPr>
            <w:tcW w:type="dxa" w:w="31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Southern</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6,026 (46.2%)</w:t>
            </w:r>
          </w:p>
        </w:tc>
        <w:tc>
          <w:tcPr>
            <w:tcW w:type="dxa" w:w="204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3,175 (45.8%)</w:t>
            </w:r>
          </w:p>
        </w:tc>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
            </w:r>
          </w:p>
        </w:tc>
      </w:tr>
    </w:tbl>
    <w:p>
      <w:pPr>
        <w:spacing w:after="80" w:before="40"/>
      </w:pPr>
      <w:r>
        <w:rPr>
          <w:rFonts w:ascii="Times New Roman" w:cs="Times New Roman" w:eastAsia="Times New Roman" w:hAnsi="Times New Roman"/>
          <w:i/>
          <w:iCs/>
          <w:sz w:val="18"/>
          <w:szCs w:val="18"/>
        </w:rPr>
        <w:t xml:space="preserve">p-values: Welch’s t-test (continuous), chi-square test (categorical). p-value shown on the category header row for multi-level variables.</w:t>
      </w:r>
    </w:p>
    <w:p>
      <w:pPr>
        <w:spacing w:after="0" w:before="280"/>
      </w:pPr>
    </w:p>
    <w:p>
      <w:pPr>
        <w:spacing w:after="60" w:before="240"/>
      </w:pPr>
      <w:r>
        <w:rPr>
          <w:rFonts w:ascii="Times New Roman" w:cs="Times New Roman" w:eastAsia="Times New Roman" w:hAnsi="Times New Roman"/>
          <w:b/>
          <w:bCs/>
          <w:sz w:val="22"/>
          <w:szCs w:val="22"/>
        </w:rPr>
        <w:t xml:space="preserve">Table 2a. Sociodemographic Characteristics by Cluster: MDHS 2015 (K =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160"/>
        <w:gridCol w:w="1160"/>
        <w:gridCol w:w="1160"/>
        <w:gridCol w:w="1160"/>
        <w:gridCol w:w="1160"/>
      </w:tblGrid>
      <w:tr>
        <w:tc>
          <w:tcPr>
            <w:tcW w:type="dxa" w:w="25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Characteristic</w:t>
            </w:r>
          </w:p>
        </w:tc>
        <w:tc>
          <w:tcPr>
            <w:tcW w:type="dxa" w:w="11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Overall</w:t>
            </w:r>
          </w:p>
        </w:tc>
        <w:tc>
          <w:tcPr>
            <w:tcW w:type="dxa" w:w="11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C-A
Comprehensive
ANC+delivery</w:t>
            </w:r>
          </w:p>
        </w:tc>
        <w:tc>
          <w:tcPr>
            <w:tcW w:type="dxa" w:w="11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C-B
Late ANC,
facility delivery</w:t>
            </w:r>
          </w:p>
        </w:tc>
        <w:tc>
          <w:tcPr>
            <w:tcW w:type="dxa" w:w="11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C-C
C-section/
high PNC</w:t>
            </w:r>
          </w:p>
        </w:tc>
        <w:tc>
          <w:tcPr>
            <w:tcW w:type="dxa" w:w="11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C-D
Minimal
utilisation</w:t>
            </w:r>
          </w:p>
        </w:tc>
      </w:tr>
      <w:tr>
        <w:tc>
          <w:tcPr>
            <w:tcW w:type="dxa" w:w="256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n (%)</w:t>
            </w:r>
          </w:p>
        </w:tc>
        <w:tc>
          <w:tcPr>
            <w:tcW w:type="dxa" w:w="116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13,030</w:t>
            </w:r>
          </w:p>
        </w:tc>
        <w:tc>
          <w:tcPr>
            <w:tcW w:type="dxa" w:w="116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3,149 (24.2%)</w:t>
            </w:r>
          </w:p>
        </w:tc>
        <w:tc>
          <w:tcPr>
            <w:tcW w:type="dxa" w:w="116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7,828 (60.1%)</w:t>
            </w:r>
          </w:p>
        </w:tc>
        <w:tc>
          <w:tcPr>
            <w:tcW w:type="dxa" w:w="116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910 (7.0%)</w:t>
            </w:r>
          </w:p>
        </w:tc>
        <w:tc>
          <w:tcPr>
            <w:tcW w:type="dxa" w:w="116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1,143 (8.8%)</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Age, years (mean ± SD)</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28.1 ± 7.0</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28.3 ± 6.8</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27.9 ± 7.0</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27.4 ± 6.7</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28.9 ± 7.4</w:t>
            </w:r>
          </w:p>
        </w:tc>
      </w:tr>
      <w:tr>
        <w:tc>
          <w:tcPr>
            <w:tcW w:type="dxa" w:w="25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Age group</w:t>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Adolescent (15–19),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1,109 (8.5%)</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219 (7.0%)</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732 (9.4%)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89 (9.8%)</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69 (6.0%)</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Young adult (20–34),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9,343 (71.7%)</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2,302 (73.1%)</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5,580 (71.3%)</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678 (74.5%)</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783 (68.5%)</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Older (35–49),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2,578 (19.8%)</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628 (19.9%)</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1,516 (19.4%)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143 (15.7%)</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291 (25.5%)</w:t>
            </w:r>
          </w:p>
        </w:tc>
      </w:tr>
      <w:tr>
        <w:tc>
          <w:tcPr>
            <w:tcW w:type="dxa" w:w="25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Residence</w:t>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Urban,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2,257 (17.3%)</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522 (16.6%)</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1,340 (17.1%)</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293 (32.2%)</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102 (8.9%)</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Rural,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10,773 (82.7%)</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2,627 (83.4%)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6,488 (82.9%)</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617 (67.8%)</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1,041 (91.1%)</w:t>
            </w:r>
          </w:p>
        </w:tc>
      </w:tr>
      <w:tr>
        <w:tc>
          <w:tcPr>
            <w:tcW w:type="dxa" w:w="25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Wealth quintile</w:t>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Poorest,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2,767 (21.2%)</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627 (19.9%)</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1,705 (21.8%)</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113 (12.4%)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322 (28.2%)</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Poorer,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2,715 (20.8%)</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673 (21.4%)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1,645 (21.0%)</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127 (14.0%)</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270 (23.6%)</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Middle,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2,511 (19.3%)</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599 (19.0%)</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1,546 (19.7%)</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127 (14.0%)</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239 (20.9%)</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Richer,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2,510 (19.3%)</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597 (19.0%)</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1,511 (19.3%)</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207 (22.7%)</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195 (17.1%)</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Richest,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2,527 (19.4%)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653 (20.7%)</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1,421 (18.2%)</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336 (36.9%)</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117 (10.2%)</w:t>
            </w:r>
          </w:p>
        </w:tc>
      </w:tr>
      <w:tr>
        <w:tc>
          <w:tcPr>
            <w:tcW w:type="dxa" w:w="25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Education level</w:t>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No education,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1,516 (11.6%)</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344 (10.9%)</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924 (11.8%)</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54 (5.9%)</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194 (17.0%)</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Primary,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8,484 (65.1%)</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2,080 (66.1%)</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5,114 (65.3%)</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488 (53.6%)</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802 (70.2%)</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Secondary,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2,786 (21.4%)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650 (20.6%)</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1,682 (21.5%)</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312 (34.3%)</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142 (12.4%)</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Higher,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244 (1.9%)</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75 (2.4%)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108 (1.4%)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56 (6.2%)</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 (0.4%)</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Parity (mean ± SD)</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3.3 ± 2.1</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3.3 ± 2.1</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3.3 ± 2.1</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2.6 ± 1.8</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3.8 ± 2.2</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Currently married,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10,022 (76.9%)</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2,498 (79.3%)</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6,000 (76.6%)</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672 (73.8%)</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852 (74.5%)</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Distance to facility a problem,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6,963 (53.4%)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1,649 (52.4%)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4,164 (53.2%)</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407 (44.7%)</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743 (65.0%)</w:t>
            </w:r>
          </w:p>
        </w:tc>
      </w:tr>
    </w:tbl>
    <w:p>
      <w:pPr>
        <w:spacing w:after="80" w:before="40"/>
      </w:pPr>
      <w:r>
        <w:rPr>
          <w:rFonts w:ascii="Times New Roman" w:cs="Times New Roman" w:eastAsia="Times New Roman" w:hAnsi="Times New Roman"/>
          <w:i/>
          <w:iCs/>
          <w:sz w:val="18"/>
          <w:szCs w:val="18"/>
        </w:rPr>
        <w:t xml:space="preserve">C-A: Comprehensive ANC + delivery (n = 3,149; 24.2%); C-B: Late ANC, facility delivery (n = 7,828; 60.1%); C-C: C-section/high PNC (n = 910; 7.0%); C-D: Minimal utilisation (n = 1,143; 8.8%). Values are n (%) unless otherwise stated.</w:t>
      </w:r>
    </w:p>
    <w:p>
      <w:pPr>
        <w:spacing w:after="0" w:before="280"/>
      </w:pPr>
    </w:p>
    <w:p>
      <w:pPr>
        <w:spacing w:after="60" w:before="240"/>
      </w:pPr>
      <w:r>
        <w:rPr>
          <w:rFonts w:ascii="Times New Roman" w:cs="Times New Roman" w:eastAsia="Times New Roman" w:hAnsi="Times New Roman"/>
          <w:b/>
          <w:bCs/>
          <w:sz w:val="22"/>
          <w:szCs w:val="22"/>
        </w:rPr>
        <w:t xml:space="preserve">Table 2b. Sociodemographic Characteristics by Cluster: MDHS 2024 (K =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650"/>
        <w:gridCol w:w="1650"/>
        <w:gridCol w:w="1650"/>
        <w:gridCol w:w="1650"/>
      </w:tblGrid>
      <w:tr>
        <w:tc>
          <w:tcPr>
            <w:tcW w:type="dxa" w:w="2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Characteristic</w:t>
            </w:r>
          </w:p>
        </w:tc>
        <w:tc>
          <w:tcPr>
            <w:tcW w:type="dxa" w:w="165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Overall</w:t>
            </w:r>
          </w:p>
        </w:tc>
        <w:tc>
          <w:tcPr>
            <w:tcW w:type="dxa" w:w="165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C-1
High
coverage</w:t>
            </w:r>
          </w:p>
        </w:tc>
        <w:tc>
          <w:tcPr>
            <w:tcW w:type="dxa" w:w="165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C-2
Late ANC,
facility delivery</w:t>
            </w:r>
          </w:p>
        </w:tc>
        <w:tc>
          <w:tcPr>
            <w:tcW w:type="dxa" w:w="165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C-3
Moderate ANC,
limited delivery</w:t>
            </w:r>
          </w:p>
        </w:tc>
      </w:tr>
      <w:tr>
        <w:tc>
          <w:tcPr>
            <w:tcW w:type="dxa" w:w="276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n (%)</w:t>
            </w:r>
          </w:p>
        </w:tc>
        <w:tc>
          <w:tcPr>
            <w:tcW w:type="dxa" w:w="165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6,925</w:t>
            </w:r>
          </w:p>
        </w:tc>
        <w:tc>
          <w:tcPr>
            <w:tcW w:type="dxa" w:w="165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3,232 (46.7%)</w:t>
            </w:r>
          </w:p>
        </w:tc>
        <w:tc>
          <w:tcPr>
            <w:tcW w:type="dxa" w:w="165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3,349 (48.4%)</w:t>
            </w:r>
          </w:p>
        </w:tc>
        <w:tc>
          <w:tcPr>
            <w:tcW w:type="dxa" w:w="165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344 (5.0%)</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Age, years (mean ± SD)</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26.9 ± 6.9</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26.7 ± 6.7</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26.9 ± 7.1</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27.9 ± 7.1</w:t>
            </w:r>
          </w:p>
        </w:tc>
      </w:tr>
      <w:tr>
        <w:tc>
          <w:tcPr>
            <w:tcW w:type="dxa" w:w="27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Age group</w:t>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Adolescent (15–19),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928 (13.4%)</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402 (12.4%)</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494 (14.8%)</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32 (9.3%)</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Young adult (20–34),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4,861 (70.2%)</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2,341 (72.4%)</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2,280 (68.1%)</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240 (69.8%)</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Older (35–49),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1,136 (16.4%)</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489 (15.1%)</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575 (17.2%)</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72 (20.9%)</w:t>
            </w:r>
          </w:p>
        </w:tc>
      </w:tr>
      <w:tr>
        <w:tc>
          <w:tcPr>
            <w:tcW w:type="dxa" w:w="27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Residence</w:t>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Urban,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1,298 (18.7%)</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668 (20.7%)</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588 (17.6%)</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42 (12.2%)</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Rural,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5,627 (81.3%)</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2,564 (79.3%)</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2,761 (82.4%)</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302 (87.8%)</w:t>
            </w:r>
          </w:p>
        </w:tc>
      </w:tr>
      <w:tr>
        <w:tc>
          <w:tcPr>
            <w:tcW w:type="dxa" w:w="27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Wealth quintile</w:t>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Poorest,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1,527 (22.1%)</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665 (20.6%)</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767 (22.9%)</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95 (27.6%)</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Poorer,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1,208 (17.4%)</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533 (16.5%)</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598 (17.9%)</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77 (22.4%)</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Middle,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1,196 (17.3%)</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548 (17.0%)</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594 (17.7%)</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54 (15.7%)</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Richer,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1,289 (18.6%)</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578 (17.9%)</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652 (19.5%)</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59 (17.2%)</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Richest,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1,448 (20.9%)</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770 (23.8%)</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627 (18.7%)</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51 (14.8%)</w:t>
            </w:r>
          </w:p>
        </w:tc>
      </w:tr>
      <w:tr>
        <w:tc>
          <w:tcPr>
            <w:tcW w:type="dxa" w:w="27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Education level</w:t>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No education,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427 (6.2%)</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171 (5.3%)</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224 (6.7%)</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32 (9.3%)</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Primary,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4,522 (65.3%)</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2,049 (63.4%)</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2,243 (67.0%)</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230 (66.9%)</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Secondary,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1,786 (25.8%)</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880 (27.2%)</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829 (24.8%)</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77 (22.4%)</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Higher,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190 (2.7%)</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132 (4.1%)</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53 (1.6%)</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 (1.5%)</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Parity (mean ± SD)</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 ± 1.8</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2.6 ± 1.8</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 ± 1.9</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3.1 ± 2.0</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Currently married,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4,820 (69.6%)</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2,308 (71.4%)</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2,263 (67.6%)</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249 (72.4%)</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Distance to facility a problem,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3,417 (49.3%)</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1,663 (51.5%)</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1,610 (48.1%)</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144 (41.9%)</w:t>
            </w:r>
          </w:p>
        </w:tc>
      </w:tr>
    </w:tbl>
    <w:p>
      <w:pPr>
        <w:spacing w:after="80" w:before="40"/>
      </w:pPr>
      <w:r>
        <w:rPr>
          <w:rFonts w:ascii="Times New Roman" w:cs="Times New Roman" w:eastAsia="Times New Roman" w:hAnsi="Times New Roman"/>
          <w:i/>
          <w:iCs/>
          <w:sz w:val="18"/>
          <w:szCs w:val="18"/>
        </w:rPr>
        <w:t xml:space="preserve">C-1: High coverage (n = 3,232; 46.7%); C-2: Late ANC, facility delivery (n = 3,349; 48.4%); C-3: Moderate ANC, limited delivery (n = 344; 5.0%). Values are n (%) unless otherwise stated.</w:t>
      </w:r>
    </w:p>
    <w:p>
      <w:pPr>
        <w:spacing w:after="0" w:before="240"/>
      </w:pPr>
    </w:p>
    <w:p>
      <w:pPr>
        <w:spacing w:after="60" w:before="240"/>
      </w:pPr>
      <w:r>
        <w:rPr>
          <w:rFonts w:ascii="Times New Roman" w:cs="Times New Roman" w:eastAsia="Times New Roman" w:hAnsi="Times New Roman"/>
          <w:b/>
          <w:bCs/>
          <w:sz w:val="22"/>
          <w:szCs w:val="22"/>
        </w:rPr>
        <w:t xml:space="preserve">Table 3. Maternal Care Utilisation Indicators: MDHS 2015 vs 2024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c>
          <w:tcPr>
            <w:tcW w:type="dxa" w:w="33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Indicator</w:t>
            </w:r>
          </w:p>
        </w:tc>
        <w:tc>
          <w:tcPr>
            <w:tcW w:type="dxa" w:w="15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MDHS 2015</w:t>
            </w:r>
          </w:p>
        </w:tc>
        <w:tc>
          <w:tcPr>
            <w:tcW w:type="dxa" w:w="15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MDHS 2024</w:t>
            </w:r>
          </w:p>
        </w:tc>
        <w:tc>
          <w:tcPr>
            <w:tcW w:type="dxa" w:w="15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Change</w:t>
            </w:r>
          </w:p>
        </w:tc>
        <w:tc>
          <w:tcPr>
            <w:tcW w:type="dxa" w:w="15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p-value</w:t>
            </w:r>
          </w:p>
        </w:tc>
      </w:tr>
      <w:tr>
        <w:tc>
          <w:tcPr>
            <w:tcW w:type="dxa" w:w="33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First ANC visit, month (mean ± SD)</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4.45 ± 1.31</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3.34 ± 1.34</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 months</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3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ANC visits (mean ± SD)</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3.77 ± 1.62</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4.22 ± 1.52</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+0.45 visits</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3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Skilled ANC provider (%)</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96.6%</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98.4%</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+1.8%</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360"/>
            <w:tcBorders>
              <w:top w:val="single" w:color="AAAAAA" w:sz="4"/>
              <w:left w:val="single" w:color="AAAAAA" w:sz="4"/>
              <w:bottom w:val="single" w:color="AAAAAA" w:sz="4"/>
              <w:right w:val="single" w:color="AAAAAA" w:sz="4"/>
            </w:tcBorders>
            <w:shd w:fill="FFF3CD"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Early ANC initiation ≤3 months (%)</w:t>
            </w:r>
          </w:p>
        </w:tc>
        <w:tc>
          <w:tcPr>
            <w:tcW w:type="dxa" w:w="1500"/>
            <w:tcBorders>
              <w:top w:val="single" w:color="AAAAAA" w:sz="4"/>
              <w:left w:val="single" w:color="AAAAAA" w:sz="4"/>
              <w:bottom w:val="single" w:color="AAAAAA" w:sz="4"/>
              <w:right w:val="single" w:color="AAAAAA" w:sz="4"/>
            </w:tcBorders>
            <w:shd w:fill="FFF3CD"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26.0%</w:t>
            </w:r>
          </w:p>
        </w:tc>
        <w:tc>
          <w:tcPr>
            <w:tcW w:type="dxa" w:w="1500"/>
            <w:tcBorders>
              <w:top w:val="single" w:color="AAAAAA" w:sz="4"/>
              <w:left w:val="single" w:color="AAAAAA" w:sz="4"/>
              <w:bottom w:val="single" w:color="AAAAAA" w:sz="4"/>
              <w:right w:val="single" w:color="AAAAAA" w:sz="4"/>
            </w:tcBorders>
            <w:shd w:fill="FFF3CD"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57.5%</w:t>
            </w:r>
          </w:p>
        </w:tc>
        <w:tc>
          <w:tcPr>
            <w:tcW w:type="dxa" w:w="1500"/>
            <w:tcBorders>
              <w:top w:val="single" w:color="AAAAAA" w:sz="4"/>
              <w:left w:val="single" w:color="AAAAAA" w:sz="4"/>
              <w:bottom w:val="single" w:color="AAAAAA" w:sz="4"/>
              <w:right w:val="single" w:color="AAAAAA" w:sz="4"/>
            </w:tcBorders>
            <w:shd w:fill="FFF3CD"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+31.5%</w:t>
            </w:r>
          </w:p>
        </w:tc>
        <w:tc>
          <w:tcPr>
            <w:tcW w:type="dxa" w:w="1500"/>
            <w:tcBorders>
              <w:top w:val="single" w:color="AAAAAA" w:sz="4"/>
              <w:left w:val="single" w:color="AAAAAA" w:sz="4"/>
              <w:bottom w:val="single" w:color="AAAAAA" w:sz="4"/>
              <w:right w:val="single" w:color="AAAAAA" w:sz="4"/>
            </w:tcBorders>
            <w:shd w:fill="FFF3CD"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3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Adequate ANC ≥4 visits (%)</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51.9%</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66.6%</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+14.7%</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3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Optimal ANC ≥8 visits (%)</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1.4%</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2.9%</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3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Facility delivery (%)</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94.8%</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97.6%</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3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Skilled birth attendant (%)</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92.0%</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97.1%</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+5.0%</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3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Caesarean section (%)</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7.0%</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11.5%</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+4.5%</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3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PNC received (%)</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45.1%</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43.2%</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−1.9%</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0.013</w:t>
            </w:r>
          </w:p>
        </w:tc>
      </w:tr>
      <w:tr>
        <w:tc>
          <w:tcPr>
            <w:tcW w:type="dxa" w:w="33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Informed about danger signs (%)</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25.3%</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24.8%</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−0.5%</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0.421</w:t>
            </w:r>
          </w:p>
        </w:tc>
      </w:tr>
    </w:tbl>
    <w:p>
      <w:pPr>
        <w:spacing w:after="80" w:before="40"/>
      </w:pPr>
      <w:r>
        <w:rPr>
          <w:rFonts w:ascii="Times New Roman" w:cs="Times New Roman" w:eastAsia="Times New Roman" w:hAnsi="Times New Roman"/>
          <w:i/>
          <w:iCs/>
          <w:sz w:val="18"/>
          <w:szCs w:val="18"/>
        </w:rPr>
        <w:t xml:space="preserve">p-values: chi-square test (binary) or Welch’s t-test (continuous). Highlighted row = largest change.</w:t>
      </w:r>
    </w:p>
    <w:p>
      <w:pPr>
        <w:pageBreakBefore/>
      </w:pPr>
    </w:p>
    <w:p>
      <w:pPr>
        <w:spacing w:after="60" w:before="240"/>
      </w:pPr>
      <w:r>
        <w:rPr>
          <w:rFonts w:ascii="Times New Roman" w:cs="Times New Roman" w:eastAsia="Times New Roman" w:hAnsi="Times New Roman"/>
          <w:b/>
          <w:bCs/>
          <w:sz w:val="22"/>
          <w:szCs w:val="22"/>
        </w:rPr>
        <w:t xml:space="preserve">Table 4. Cluster Profiles: MDHS 2015 (K = 4) and MDHS 2024 (K =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029"/>
        <w:gridCol w:w="1029"/>
        <w:gridCol w:w="1029"/>
        <w:gridCol w:w="1029"/>
        <w:gridCol w:w="1029"/>
        <w:gridCol w:w="1029"/>
        <w:gridCol w:w="1016"/>
      </w:tblGrid>
      <w:tr>
        <w:tc>
          <w:tcPr>
            <w:tcW w:type="dxa" w:w="21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Feature</w:t>
            </w:r>
          </w:p>
        </w:tc>
        <w:tc>
          <w:tcPr>
            <w:tcW w:type="dxa" w:w="102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2015 C-A</w:t>
            </w:r>
          </w:p>
        </w:tc>
        <w:tc>
          <w:tcPr>
            <w:tcW w:type="dxa" w:w="102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2015 C-B</w:t>
            </w:r>
          </w:p>
        </w:tc>
        <w:tc>
          <w:tcPr>
            <w:tcW w:type="dxa" w:w="102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2015 C-C</w:t>
            </w:r>
          </w:p>
        </w:tc>
        <w:tc>
          <w:tcPr>
            <w:tcW w:type="dxa" w:w="102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2015 C-D</w:t>
            </w:r>
          </w:p>
        </w:tc>
        <w:tc>
          <w:tcPr>
            <w:tcW w:type="dxa" w:w="1029"/>
            <w:tcBorders>
              <w:top w:val="single" w:color="AAAAAA" w:sz="4"/>
              <w:left w:val="single" w:color="AAAAAA" w:sz="4"/>
              <w:bottom w:val="single" w:color="AAAAAA" w:sz="4"/>
              <w:right w:val="single" w:color="AAAAAA" w:sz="4"/>
            </w:tcBorders>
            <w:shd w:fill="1B5E20"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2024 C-1</w:t>
            </w:r>
          </w:p>
        </w:tc>
        <w:tc>
          <w:tcPr>
            <w:tcW w:type="dxa" w:w="1029"/>
            <w:tcBorders>
              <w:top w:val="single" w:color="AAAAAA" w:sz="4"/>
              <w:left w:val="single" w:color="AAAAAA" w:sz="4"/>
              <w:bottom w:val="single" w:color="AAAAAA" w:sz="4"/>
              <w:right w:val="single" w:color="AAAAAA" w:sz="4"/>
            </w:tcBorders>
            <w:shd w:fill="1B5E20"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2024 C-2</w:t>
            </w:r>
          </w:p>
        </w:tc>
        <w:tc>
          <w:tcPr>
            <w:tcW w:type="dxa" w:w="1016"/>
            <w:tcBorders>
              <w:top w:val="single" w:color="AAAAAA" w:sz="4"/>
              <w:left w:val="single" w:color="AAAAAA" w:sz="4"/>
              <w:bottom w:val="single" w:color="AAAAAA" w:sz="4"/>
              <w:right w:val="single" w:color="AAAAAA" w:sz="4"/>
            </w:tcBorders>
            <w:shd w:fill="1B5E20"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2024 C-3</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Label</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Comprehensive ANC+delivery</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Late ANC, facility delivery</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C-section, high PNC</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Minimal utilisation</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High coverage</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Late ANC, facility delivery</w:t>
            </w:r>
          </w:p>
        </w:tc>
        <w:tc>
          <w:tcPr>
            <w:tcW w:type="dxa" w:w="1016"/>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Moderate ANC, limited delivery</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n (%)</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3,149 (24.2%)</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7,828 (60.1%)</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910 (7.0%)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1,143 (8.8%)</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3,232 (46.7%)</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3,349 (48.4%)</w:t>
            </w:r>
          </w:p>
        </w:tc>
        <w:tc>
          <w:tcPr>
            <w:tcW w:type="dxa" w:w="1016"/>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344 (5.0%)</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First ANC month (mean)</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2.93</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4.98</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4.18</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5.21</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2.38</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4.25</w:t>
            </w:r>
          </w:p>
        </w:tc>
        <w:tc>
          <w:tcPr>
            <w:tcW w:type="dxa" w:w="1016"/>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3.42</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ANC visits (mean)</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4.76</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3.43</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3.99</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3.18</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5.23</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3.27</w:t>
            </w:r>
          </w:p>
        </w:tc>
        <w:tc>
          <w:tcPr>
            <w:tcW w:type="dxa" w:w="1016"/>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3.89</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Early ANC ≤3 months (%)</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97.6%</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34.7%</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99.2%</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17.5%</w:t>
            </w:r>
          </w:p>
        </w:tc>
        <w:tc>
          <w:tcPr>
            <w:tcW w:type="dxa" w:w="1016"/>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54.9%</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Adequate ANC ≥4 visits (%)</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78.7%</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42.9%</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60.2%</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33.4%</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35.3%</w:t>
            </w:r>
          </w:p>
        </w:tc>
        <w:tc>
          <w:tcPr>
            <w:tcW w:type="dxa" w:w="1016"/>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58.7%</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Skilled ANC provider (%)</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96.5%</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98.0%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72.9%</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16"/>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68.6%</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Facility delivery (%)</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96.2%</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51.8%</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16"/>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50.9%</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Skilled birth attendant (%)</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94.0%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99.1%</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26.5%</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16"/>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40.7%</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Caesarean section (%)</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13.6%</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10.1%</w:t>
            </w:r>
          </w:p>
        </w:tc>
        <w:tc>
          <w:tcPr>
            <w:tcW w:type="dxa" w:w="1016"/>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5.2%</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PNC received (%)</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46.0%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44.8%</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46.7%</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43.1%</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45.6%</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41.6%</w:t>
            </w:r>
          </w:p>
        </w:tc>
        <w:tc>
          <w:tcPr>
            <w:tcW w:type="dxa" w:w="1016"/>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36.1%</w:t>
            </w:r>
          </w:p>
        </w:tc>
      </w:tr>
    </w:tbl>
    <w:p>
      <w:pPr>
        <w:spacing w:after="0" w:before="240"/>
      </w:pPr>
    </w:p>
    <w:p>
      <w:pPr>
        <w:spacing w:after="60" w:before="240"/>
      </w:pPr>
      <w:r>
        <w:rPr>
          <w:rFonts w:ascii="Times New Roman" w:cs="Times New Roman" w:eastAsia="Times New Roman" w:hAnsi="Times New Roman"/>
          <w:b/>
          <w:bCs/>
          <w:sz w:val="22"/>
          <w:szCs w:val="22"/>
        </w:rPr>
        <w:t xml:space="preserve">Table 5. Subgroup Association with Cluster Membership (Cramér’s 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0"/>
        <w:gridCol w:w="1200"/>
        <w:gridCol w:w="1100"/>
        <w:gridCol w:w="1100"/>
        <w:gridCol w:w="1200"/>
        <w:gridCol w:w="1100"/>
        <w:gridCol w:w="1100"/>
        <w:gridCol w:w="780"/>
      </w:tblGrid>
      <w:tr>
        <w:tc>
          <w:tcPr>
            <w:tcW w:type="dxa" w:w="168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Subgroup</w:t>
            </w:r>
          </w:p>
        </w:tc>
        <w:tc>
          <w:tcPr>
            <w:tcW w:type="dxa" w:w="1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MDHS 2015 (n)</w:t>
            </w:r>
          </w:p>
        </w:tc>
        <w:tc>
          <w:tcPr>
            <w:tcW w:type="dxa" w:w="11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Cramér’s V</w:t>
            </w:r>
          </w:p>
        </w:tc>
        <w:tc>
          <w:tcPr>
            <w:tcW w:type="dxa" w:w="11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p-value</w:t>
            </w:r>
          </w:p>
        </w:tc>
        <w:tc>
          <w:tcPr>
            <w:tcW w:type="dxa" w:w="1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MDHS 2024 (n)</w:t>
            </w:r>
          </w:p>
        </w:tc>
        <w:tc>
          <w:tcPr>
            <w:tcW w:type="dxa" w:w="11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Cramér’s V</w:t>
            </w:r>
          </w:p>
        </w:tc>
        <w:tc>
          <w:tcPr>
            <w:tcW w:type="dxa" w:w="11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p-value</w:t>
            </w:r>
          </w:p>
        </w:tc>
        <w:tc>
          <w:tcPr>
            <w:tcW w:type="dxa" w:w="78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Change</w:t>
            </w:r>
          </w:p>
        </w:tc>
      </w:tr>
      <w:tr>
        <w:tc>
          <w:tcPr>
            <w:tcW w:type="dxa" w:w="16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Residence</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13,030</w:t>
            </w:r>
          </w:p>
        </w:tc>
        <w:tc>
          <w:tcPr>
            <w:tcW w:type="dxa" w:w="1100"/>
            <w:tcBorders>
              <w:top w:val="single" w:color="AAAAAA" w:sz="4"/>
              <w:left w:val="single" w:color="AAAAAA" w:sz="4"/>
              <w:bottom w:val="single" w:color="AAAAAA" w:sz="4"/>
              <w:right w:val="single" w:color="AAAAAA" w:sz="4"/>
            </w:tcBorders>
            <w:shd w:fill="FFE5CC"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0.123</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6,925</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0.055</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c>
          <w:tcPr>
            <w:tcW w:type="dxa" w:w="780"/>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Narrowed</w:t>
            </w:r>
          </w:p>
        </w:tc>
      </w:tr>
      <w:tr>
        <w:tc>
          <w:tcPr>
            <w:tcW w:type="dxa" w:w="16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Wealth quintile</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13,030</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0.090</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6,668</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0.059</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c>
          <w:tcPr>
            <w:tcW w:type="dxa" w:w="780"/>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Narrowed</w:t>
            </w:r>
          </w:p>
        </w:tc>
      </w:tr>
      <w:tr>
        <w:tc>
          <w:tcPr>
            <w:tcW w:type="dxa" w:w="16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Age group</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13,030</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0.046</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6,925</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0.042</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c>
          <w:tcPr>
            <w:tcW w:type="dxa" w:w="780"/>
            <w:tcBorders>
              <w:top w:val="single" w:color="AAAAAA" w:sz="4"/>
              <w:left w:val="single" w:color="AAAAAA" w:sz="4"/>
              <w:bottom w:val="single" w:color="AAAAAA" w:sz="4"/>
              <w:right w:val="single" w:color="AAAAAA" w:sz="4"/>
            </w:tcBorders>
            <w:shd w:fill="FFF9C4"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Stable</w:t>
            </w:r>
          </w:p>
        </w:tc>
      </w:tr>
      <w:tr>
        <w:tc>
          <w:tcPr>
            <w:tcW w:type="dxa" w:w="16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Education level</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13,030</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0.089</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6,925</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0.066</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c>
          <w:tcPr>
            <w:tcW w:type="dxa" w:w="780"/>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Narrowed</w:t>
            </w:r>
          </w:p>
        </w:tc>
      </w:tr>
    </w:tbl>
    <w:p>
      <w:pPr>
        <w:spacing w:after="80" w:before="40"/>
      </w:pPr>
      <w:r>
        <w:rPr>
          <w:rFonts w:ascii="Times New Roman" w:cs="Times New Roman" w:eastAsia="Times New Roman" w:hAnsi="Times New Roman"/>
          <w:i/>
          <w:iCs/>
          <w:sz w:val="18"/>
          <w:szCs w:val="18"/>
        </w:rPr>
        <w:t xml:space="preserve">Cramér’s V: &lt;0.1 = small; 0.1–0.3 = medium; &gt;0.3 = large.</w:t>
      </w:r>
    </w:p>
    <w:p>
      <w:pPr>
        <w:spacing w:after="0" w:before="240"/>
      </w:pPr>
    </w:p>
    <w:p>
      <w:pPr>
        <w:spacing w:after="60" w:before="240"/>
      </w:pPr>
      <w:r>
        <w:rPr>
          <w:rFonts w:ascii="Times New Roman" w:cs="Times New Roman" w:eastAsia="Times New Roman" w:hAnsi="Times New Roman"/>
          <w:b/>
          <w:bCs/>
          <w:sz w:val="22"/>
          <w:szCs w:val="22"/>
        </w:rPr>
        <w:t xml:space="preserve">Table 6. Top 5 Predictors of Cluster Membership (Random Forest Variable Importance)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2808"/>
        <w:gridCol w:w="1248"/>
        <w:gridCol w:w="2808"/>
        <w:gridCol w:w="1560"/>
      </w:tblGrid>
      <w:tr>
        <w:tc>
          <w:tcPr>
            <w:tcW w:type="dxa" w:w="936"/>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Rank</w:t>
            </w:r>
          </w:p>
        </w:tc>
        <w:tc>
          <w:tcPr>
            <w:tcW w:type="dxa" w:w="280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MDHS 2015 Predictor</w:t>
            </w:r>
          </w:p>
        </w:tc>
        <w:tc>
          <w:tcPr>
            <w:tcW w:type="dxa" w:w="124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MDI</w:t>
            </w:r>
          </w:p>
        </w:tc>
        <w:tc>
          <w:tcPr>
            <w:tcW w:type="dxa" w:w="280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MDHS 2024 Predictor</w:t>
            </w:r>
          </w:p>
        </w:tc>
        <w:tc>
          <w:tcPr>
            <w:tcW w:type="dxa" w:w="15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MDI</w:t>
            </w:r>
          </w:p>
        </w:tc>
      </w:tr>
      <w:tr>
        <w:tc>
          <w:tcPr>
            <w:tcW w:type="dxa" w:w="936"/>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w:t>
            </w:r>
          </w:p>
        </w:tc>
        <w:tc>
          <w:tcPr>
            <w:tcW w:type="dxa" w:w="280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Parity</w:t>
            </w:r>
          </w:p>
        </w:tc>
        <w:tc>
          <w:tcPr>
            <w:tcW w:type="dxa" w:w="124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0.185</w:t>
            </w:r>
          </w:p>
        </w:tc>
        <w:tc>
          <w:tcPr>
            <w:tcW w:type="dxa" w:w="2808"/>
            <w:tcBorders>
              <w:top w:val="single" w:color="AAAAAA" w:sz="4"/>
              <w:left w:val="single" w:color="AAAAAA" w:sz="4"/>
              <w:bottom w:val="single" w:color="AAAAAA" w:sz="4"/>
              <w:right w:val="single" w:color="AAAAAA" w:sz="4"/>
            </w:tcBorders>
            <w:shd w:fill="FFF3CD"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Age</w:t>
            </w:r>
          </w:p>
        </w:tc>
        <w:tc>
          <w:tcPr>
            <w:tcW w:type="dxa" w:w="1560"/>
            <w:tcBorders>
              <w:top w:val="single" w:color="AAAAAA" w:sz="4"/>
              <w:left w:val="single" w:color="AAAAAA" w:sz="4"/>
              <w:bottom w:val="single" w:color="AAAAAA" w:sz="4"/>
              <w:right w:val="single" w:color="AAAAAA" w:sz="4"/>
            </w:tcBorders>
            <w:shd w:fill="FFF3CD"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0.287</w:t>
            </w:r>
          </w:p>
        </w:tc>
      </w:tr>
      <w:tr>
        <w:tc>
          <w:tcPr>
            <w:tcW w:type="dxa" w:w="936"/>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w:t>
            </w:r>
          </w:p>
        </w:tc>
        <w:tc>
          <w:tcPr>
            <w:tcW w:type="dxa" w:w="280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Age</w:t>
            </w:r>
          </w:p>
        </w:tc>
        <w:tc>
          <w:tcPr>
            <w:tcW w:type="dxa" w:w="124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0.182</w:t>
            </w:r>
          </w:p>
        </w:tc>
        <w:tc>
          <w:tcPr>
            <w:tcW w:type="dxa" w:w="280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Parity</w:t>
            </w:r>
          </w:p>
        </w:tc>
        <w:tc>
          <w:tcPr>
            <w:tcW w:type="dxa" w:w="1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0.173</w:t>
            </w:r>
          </w:p>
        </w:tc>
      </w:tr>
      <w:tr>
        <w:tc>
          <w:tcPr>
            <w:tcW w:type="dxa" w:w="936"/>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w:t>
            </w:r>
          </w:p>
        </w:tc>
        <w:tc>
          <w:tcPr>
            <w:tcW w:type="dxa" w:w="280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Wealth: Richest</w:t>
            </w:r>
          </w:p>
        </w:tc>
        <w:tc>
          <w:tcPr>
            <w:tcW w:type="dxa" w:w="124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0.119</w:t>
            </w:r>
          </w:p>
        </w:tc>
        <w:tc>
          <w:tcPr>
            <w:tcW w:type="dxa" w:w="280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Region</w:t>
            </w:r>
          </w:p>
        </w:tc>
        <w:tc>
          <w:tcPr>
            <w:tcW w:type="dxa" w:w="1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0.100</w:t>
            </w:r>
          </w:p>
        </w:tc>
      </w:tr>
      <w:tr>
        <w:tc>
          <w:tcPr>
            <w:tcW w:type="dxa" w:w="936"/>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w:t>
            </w:r>
          </w:p>
        </w:tc>
        <w:tc>
          <w:tcPr>
            <w:tcW w:type="dxa" w:w="280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Residence (Urban)</w:t>
            </w:r>
          </w:p>
        </w:tc>
        <w:tc>
          <w:tcPr>
            <w:tcW w:type="dxa" w:w="124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0.106</w:t>
            </w:r>
          </w:p>
        </w:tc>
        <w:tc>
          <w:tcPr>
            <w:tcW w:type="dxa" w:w="280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Distance to facility (barrier)</w:t>
            </w:r>
          </w:p>
        </w:tc>
        <w:tc>
          <w:tcPr>
            <w:tcW w:type="dxa" w:w="1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0.064</w:t>
            </w:r>
          </w:p>
        </w:tc>
      </w:tr>
      <w:tr>
        <w:tc>
          <w:tcPr>
            <w:tcW w:type="dxa" w:w="936"/>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w:t>
            </w:r>
          </w:p>
        </w:tc>
        <w:tc>
          <w:tcPr>
            <w:tcW w:type="dxa" w:w="280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Region</w:t>
            </w:r>
          </w:p>
        </w:tc>
        <w:tc>
          <w:tcPr>
            <w:tcW w:type="dxa" w:w="124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0.081</w:t>
            </w:r>
          </w:p>
        </w:tc>
        <w:tc>
          <w:tcPr>
            <w:tcW w:type="dxa" w:w="280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Marital status (married)</w:t>
            </w:r>
          </w:p>
        </w:tc>
        <w:tc>
          <w:tcPr>
            <w:tcW w:type="dxa" w:w="1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0.057</w:t>
            </w:r>
          </w:p>
        </w:tc>
      </w:tr>
    </w:tbl>
    <w:p>
      <w:pPr>
        <w:spacing w:after="80" w:before="40"/>
      </w:pPr>
      <w:r>
        <w:rPr>
          <w:rFonts w:ascii="Times New Roman" w:cs="Times New Roman" w:eastAsia="Times New Roman" w:hAnsi="Times New Roman"/>
          <w:i/>
          <w:iCs/>
          <w:sz w:val="18"/>
          <w:szCs w:val="18"/>
        </w:rPr>
        <w:t xml:space="preserve">Importance score = mean reduction in prediction error (MDI). Cross-validated overall accuracy (macro F1): 2015 = 0.22; 2024 = 0.33.</w:t>
      </w:r>
    </w:p>
    <w:p>
      <w:pPr>
        <w:pageBreakBefore/>
      </w:pPr>
    </w:p>
    <w:p>
      <w:pPr>
        <w:spacing w:after="60" w:before="240"/>
      </w:pPr>
      <w:r>
        <w:rPr>
          <w:rFonts w:ascii="Times New Roman" w:cs="Times New Roman" w:eastAsia="Times New Roman" w:hAnsi="Times New Roman"/>
          <w:b/>
          <w:bCs/>
          <w:sz w:val="22"/>
          <w:szCs w:val="22"/>
        </w:rPr>
        <w:t xml:space="preserve">Table 7. Adjusted Odds Ratios from Multinomial Logistic Regression: Predictors of Cluster Membership</w:t>
      </w:r>
    </w:p>
    <w:p>
      <w:pPr>
        <w:spacing w:after="80" w:before="40"/>
      </w:pPr>
      <w:r>
        <w:rPr>
          <w:rFonts w:ascii="Times New Roman" w:cs="Times New Roman" w:eastAsia="Times New Roman" w:hAnsi="Times New Roman"/>
          <w:i/>
          <w:iCs/>
          <w:sz w:val="18"/>
          <w:szCs w:val="18"/>
        </w:rPr>
        <w:t xml:space="preserve">Panel A: MDHS 2015 — Reference group: C-B (Late ANC, facility delivery; n = 7,828)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Predictor</w:t>
            </w:r>
          </w:p>
        </w:tc>
        <w:tc>
          <w:tcPr>
            <w:tcW w:type="dxa" w:w="232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C-C: C-section
(n = 910)</w:t>
            </w:r>
          </w:p>
        </w:tc>
        <w:tc>
          <w:tcPr>
            <w:tcW w:type="dxa" w:w="232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C-D: Minimal utilisation
(n = 1,143)</w:t>
            </w:r>
          </w:p>
        </w:tc>
        <w:tc>
          <w:tcPr>
            <w:tcW w:type="dxa" w:w="232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C-A: Comprehensive ANC+delivery
(n = 3,149)</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Age (per year)</w:t>
            </w:r>
          </w:p>
        </w:tc>
        <w:tc>
          <w:tcPr>
            <w:tcW w:type="dxa" w:w="2320"/>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1.06 (1.04–1.08)***</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0.99 (0.98–1.01)</w:t>
            </w:r>
          </w:p>
        </w:tc>
        <w:tc>
          <w:tcPr>
            <w:tcW w:type="dxa" w:w="2320"/>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1.01 (1.00–1.03)*</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Parity</w:t>
            </w:r>
          </w:p>
        </w:tc>
        <w:tc>
          <w:tcPr>
            <w:tcW w:type="dxa" w:w="2320"/>
            <w:tcBorders>
              <w:top w:val="single" w:color="AAAAAA" w:sz="4"/>
              <w:left w:val="single" w:color="AAAAAA" w:sz="4"/>
              <w:bottom w:val="single" w:color="AAAAAA" w:sz="4"/>
              <w:right w:val="single" w:color="AAAAAA" w:sz="4"/>
            </w:tcBorders>
            <w:shd w:fill="FFE5CC"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0.73 (0.68–0.79)***</w:t>
            </w:r>
          </w:p>
        </w:tc>
        <w:tc>
          <w:tcPr>
            <w:tcW w:type="dxa" w:w="2320"/>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1.09 (1.04–1.16)**</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0.97 (0.93–1.00)</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Married</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0.85 (0.73–1.00)</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0.88 (0.76–1.02)</w:t>
            </w:r>
          </w:p>
        </w:tc>
        <w:tc>
          <w:tcPr>
            <w:tcW w:type="dxa" w:w="2320"/>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1.14 (1.03–1.27)*</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Distance barrier</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1.05 (0.90–1.22)</w:t>
            </w:r>
          </w:p>
        </w:tc>
        <w:tc>
          <w:tcPr>
            <w:tcW w:type="dxa" w:w="2320"/>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1.39 (1.22–1.59)***</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0.99 (0.90–1.08)</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Region</w:t>
            </w:r>
          </w:p>
        </w:tc>
        <w:tc>
          <w:tcPr>
            <w:tcW w:type="dxa" w:w="2320"/>
            <w:tcBorders>
              <w:top w:val="single" w:color="AAAAAA" w:sz="4"/>
              <w:left w:val="single" w:color="AAAAAA" w:sz="4"/>
              <w:bottom w:val="single" w:color="AAAAAA" w:sz="4"/>
              <w:right w:val="single" w:color="AAAAAA" w:sz="4"/>
            </w:tcBorders>
            <w:shd w:fill="FFE5CC"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0.81 (0.74–0.89)***</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0.94 (0.86–1.02)</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1.02 (0.97–1.08)</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Urban residence</w:t>
            </w:r>
          </w:p>
        </w:tc>
        <w:tc>
          <w:tcPr>
            <w:tcW w:type="dxa" w:w="2320"/>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1.24 (1.02–1.50)*</w:t>
            </w:r>
          </w:p>
        </w:tc>
        <w:tc>
          <w:tcPr>
            <w:tcW w:type="dxa" w:w="2320"/>
            <w:tcBorders>
              <w:top w:val="single" w:color="AAAAAA" w:sz="4"/>
              <w:left w:val="single" w:color="AAAAAA" w:sz="4"/>
              <w:bottom w:val="single" w:color="AAAAAA" w:sz="4"/>
              <w:right w:val="single" w:color="AAAAAA" w:sz="4"/>
            </w:tcBorders>
            <w:shd w:fill="FFE5CC"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0.74 (0.58–0.94)*</w:t>
            </w:r>
          </w:p>
        </w:tc>
        <w:tc>
          <w:tcPr>
            <w:tcW w:type="dxa" w:w="2320"/>
            <w:tcBorders>
              <w:top w:val="single" w:color="AAAAAA" w:sz="4"/>
              <w:left w:val="single" w:color="AAAAAA" w:sz="4"/>
              <w:bottom w:val="single" w:color="AAAAAA" w:sz="4"/>
              <w:right w:val="single" w:color="AAAAAA" w:sz="4"/>
            </w:tcBorders>
            <w:shd w:fill="FFE5CC"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0.82 (0.71–0.94)**</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Wealth: Poorer vs Poorest</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1.12 (0.86–1.47)</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0.93 (0.77–1.11)</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1.10 (0.96–1.25)</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Wealth: Middle vs Poorest</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1.15 (0.88–1.50)</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0.88 (0.74–1.06)</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1.04 (0.91–1.19)</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Wealth: Richer vs Poorest</w:t>
            </w:r>
          </w:p>
        </w:tc>
        <w:tc>
          <w:tcPr>
            <w:tcW w:type="dxa" w:w="2320"/>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1.71 (1.33–2.19)***</w:t>
            </w:r>
          </w:p>
        </w:tc>
        <w:tc>
          <w:tcPr>
            <w:tcW w:type="dxa" w:w="2320"/>
            <w:tcBorders>
              <w:top w:val="single" w:color="AAAAAA" w:sz="4"/>
              <w:left w:val="single" w:color="AAAAAA" w:sz="4"/>
              <w:bottom w:val="single" w:color="AAAAAA" w:sz="4"/>
              <w:right w:val="single" w:color="AAAAAA" w:sz="4"/>
            </w:tcBorders>
            <w:shd w:fill="FFE5CC"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0.81 (0.67–0.99)*</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1.08 (0.94–1.24)</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Wealth: Richest vs Poorest</w:t>
            </w:r>
          </w:p>
        </w:tc>
        <w:tc>
          <w:tcPr>
            <w:tcW w:type="dxa" w:w="2320"/>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2.09 (1.58–2.75)***</w:t>
            </w:r>
          </w:p>
        </w:tc>
        <w:tc>
          <w:tcPr>
            <w:tcW w:type="dxa" w:w="2320"/>
            <w:tcBorders>
              <w:top w:val="single" w:color="AAAAAA" w:sz="4"/>
              <w:left w:val="single" w:color="AAAAAA" w:sz="4"/>
              <w:bottom w:val="single" w:color="AAAAAA" w:sz="4"/>
              <w:right w:val="single" w:color="AAAAAA" w:sz="4"/>
            </w:tcBorders>
            <w:shd w:fill="FFE5CC"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0.74 (0.57–0.97)*</w:t>
            </w:r>
          </w:p>
        </w:tc>
        <w:tc>
          <w:tcPr>
            <w:tcW w:type="dxa" w:w="2320"/>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1.33 (1.13–1.56)***</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Education: Higher vs None</w:t>
            </w:r>
          </w:p>
        </w:tc>
        <w:tc>
          <w:tcPr>
            <w:tcW w:type="dxa" w:w="2320"/>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2.25 (1.41–3.61)***</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0.48 (0.19–1.21)</w:t>
            </w:r>
          </w:p>
        </w:tc>
        <w:tc>
          <w:tcPr>
            <w:tcW w:type="dxa" w:w="2320"/>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1.62 (1.14–2.28)**</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Education: Primary vs None</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1.20 (0.89–1.62)</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0.87 (0.72–1.04)</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1.11 (0.96–1.27)</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Education: Secondary vs None</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1.32 (0.95–1.84)</w:t>
            </w:r>
          </w:p>
        </w:tc>
        <w:tc>
          <w:tcPr>
            <w:tcW w:type="dxa" w:w="2320"/>
            <w:tcBorders>
              <w:top w:val="single" w:color="AAAAAA" w:sz="4"/>
              <w:left w:val="single" w:color="AAAAAA" w:sz="4"/>
              <w:bottom w:val="single" w:color="AAAAAA" w:sz="4"/>
              <w:right w:val="single" w:color="AAAAAA" w:sz="4"/>
            </w:tcBorders>
            <w:shd w:fill="FFE5CC"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0.61 (0.47–0.79)***</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0.99 (0.84–1.18)</w:t>
            </w:r>
          </w:p>
        </w:tc>
      </w:tr>
    </w:tbl>
    <w:p>
      <w:pPr>
        <w:spacing w:after="0" w:before="280"/>
      </w:pPr>
    </w:p>
    <w:p>
      <w:pPr>
        <w:spacing w:after="80" w:before="40"/>
      </w:pPr>
      <w:r>
        <w:rPr>
          <w:rFonts w:ascii="Times New Roman" w:cs="Times New Roman" w:eastAsia="Times New Roman" w:hAnsi="Times New Roman"/>
          <w:i/>
          <w:iCs/>
          <w:sz w:val="18"/>
          <w:szCs w:val="18"/>
        </w:rPr>
        <w:t xml:space="preserve">Panel B: MDHS 2024 — Reference group: C-2 (Late ANC, facility delivery; n = 3,238)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Predictor</w:t>
            </w:r>
          </w:p>
        </w:tc>
        <w:tc>
          <w:tcPr>
            <w:tcW w:type="dxa" w:w="348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C-1: High coverage
(n = 3,094)</w:t>
            </w:r>
          </w:p>
        </w:tc>
        <w:tc>
          <w:tcPr>
            <w:tcW w:type="dxa" w:w="348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C-3: Moderate ANC, limited delivery
(n = 336)</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Age (per year)</w:t>
            </w:r>
          </w:p>
        </w:tc>
        <w:tc>
          <w:tcPr>
            <w:tcW w:type="dxa" w:w="3480"/>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1.02 (1.00–1.03)*</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 (0.97–1.03)</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Parity</w:t>
            </w:r>
          </w:p>
        </w:tc>
        <w:tc>
          <w:tcPr>
            <w:tcW w:type="dxa" w:w="3480"/>
            <w:tcBorders>
              <w:top w:val="single" w:color="AAAAAA" w:sz="4"/>
              <w:left w:val="single" w:color="AAAAAA" w:sz="4"/>
              <w:bottom w:val="single" w:color="AAAAAA" w:sz="4"/>
              <w:right w:val="single" w:color="AAAAAA" w:sz="4"/>
            </w:tcBorders>
            <w:shd w:fill="FFE5CC"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0.91 (0.86–0.96)**</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1.09 (0.97–1.22)</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Married</w:t>
            </w:r>
          </w:p>
        </w:tc>
        <w:tc>
          <w:tcPr>
            <w:tcW w:type="dxa" w:w="3480"/>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1.22 (1.09–1.36)***</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1.21 (0.94–1.55)</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Distance barrier</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1.03 (0.93–1.14)</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0.89 (0.70–1.13)</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Region</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1.06 (0.99–1.13)</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 (0.86–1.15)</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Urban residence</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1.02 (0.87–1.19)</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0.76 (0.50–1.14)</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Wealth: Poorer vs Poorest</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1.02 (0.87–1.19)</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1.05 (0.76–1.44)</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Wealth: Middle vs Poorest</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1.04 (0.89–1.22)</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0.75 (0.53–1.07)</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Wealth: Richer vs Poorest</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0.99 (0.84–1.16)</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0.78 (0.55–1.12)</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Wealth: Richest vs Poorest</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1.20 (0.99–1.45)</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0.80 (0.51–1.26)</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Education: Higher vs None</w:t>
            </w:r>
          </w:p>
        </w:tc>
        <w:tc>
          <w:tcPr>
            <w:tcW w:type="dxa" w:w="3480"/>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2.34 (1.53–3.58)***</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1.11 (0.38–3.21)</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Education: Primary vs None</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1.13 (0.90–1.42)</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0.75 (0.49–1.13)</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Education: Secondary vs None</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1.17 (0.91–1.51)</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0.82 (0.50–1.34)</w:t>
            </w:r>
          </w:p>
        </w:tc>
      </w:tr>
    </w:tbl>
    <w:p>
      <w:pPr>
        <w:spacing w:after="80" w:before="40"/>
      </w:pPr>
      <w:r>
        <w:rPr>
          <w:rFonts w:ascii="Times New Roman" w:cs="Times New Roman" w:eastAsia="Times New Roman" w:hAnsi="Times New Roman"/>
          <w:i/>
          <w:iCs/>
          <w:sz w:val="18"/>
          <w:szCs w:val="18"/>
        </w:rPr>
        <w:t xml:space="preserve">OR = adjusted odds ratio; 95% confidence interval in parentheses. Reference cluster: C-B (2015) and C-2 (2024), both Late ANC, facility delivery. Reference categories within predictors: residence = rural; wealth quintile = poorest; education = no education. * p &lt; 0.05; ** p &lt; 0.01; *** p &lt; 0.001. Highlighted cells: green = higher odds; orange = lower odds. McFadden R² = 0.023 (2015); 0.011 (2024).</w:t>
      </w:r>
    </w:p>
    <w:p>
      <w:pPr>
        <w:pageBreakBefore/>
      </w:pPr>
    </w:p>
    <w:p>
      <w:pPr>
        <w:pStyle w:val="Heading1"/>
        <w:spacing w:after="100" w:before="320"/>
      </w:pPr>
      <w:r>
        <w:rPr>
          <w:rFonts w:ascii="Times New Roman" w:cs="Times New Roman" w:eastAsia="Times New Roman" w:hAnsi="Times New Roman"/>
          <w:b/>
          <w:bCs/>
          <w:color w:val="1F3864"/>
          <w:sz w:val="28"/>
          <w:szCs w:val="28"/>
        </w:rPr>
        <w:t xml:space="preserve">Figure Legends</w:t>
      </w:r>
    </w:p>
    <w:p>
      <w:pPr>
        <w:spacing w:after="80" w:before="120"/>
      </w:pPr>
      <w:r>
        <w:rPr>
          <w:rFonts w:ascii="Times New Roman" w:cs="Times New Roman" w:eastAsia="Times New Roman" w:hAnsi="Times New Roman"/>
          <w:sz w:val="22"/>
          <w:szCs w:val="22"/>
        </w:rPr>
        <w:t xml:space="preserve">Figure 1. Selecting the number of groups for each survey year. Lines show two complementary statistical fit criteria across two to six candidate solutions: the Bayesian Information Criterion (BIC, left axis; lower values indicate a better fit) and the silhouette coefficient (right axis; higher values indicate more clearly separated groups). The optimal number of groups was chosen by combining these criteria (60% BIC, 40% silhouette), requiring each group to contain at least 5% of women. The dashed vertical line marks the selected solution.</w:t>
      </w:r>
    </w:p>
    <w:p>
      <w:pPr>
        <w:spacing w:after="80" w:before="120"/>
      </w:pPr>
      <w:r>
        <w:rPr>
          <w:rFonts w:ascii="Times New Roman" w:cs="Times New Roman" w:eastAsia="Times New Roman" w:hAnsi="Times New Roman"/>
          <w:sz w:val="22"/>
          <w:szCs w:val="22"/>
        </w:rPr>
        <w:t xml:space="preserve">Figure 2a. Cluster profiles of maternal care utilisation indicators, MDHS 2015 (K = 4). Bars show mean values per cluster: first ANC visit (months) and ANC visits (mean count) as raw means; all binary indicators as percentages.</w:t>
      </w:r>
    </w:p>
    <w:p>
      <w:pPr>
        <w:spacing w:after="80" w:before="120"/>
      </w:pPr>
      <w:r>
        <w:rPr>
          <w:rFonts w:ascii="Times New Roman" w:cs="Times New Roman" w:eastAsia="Times New Roman" w:hAnsi="Times New Roman"/>
          <w:sz w:val="22"/>
          <w:szCs w:val="22"/>
        </w:rPr>
        <w:t xml:space="preserve">Figure 2b. Cluster profiles of maternal care utilisation indicators, MDHS 2024 (K = 3). Bars show mean values per cluster: first ANC visit (months) and ANC visits (mean count) as raw means; all binary indicators as percentages.</w:t>
      </w:r>
    </w:p>
    <w:p>
      <w:pPr>
        <w:spacing w:after="80" w:before="120"/>
      </w:pPr>
      <w:r>
        <w:rPr>
          <w:rFonts w:ascii="Times New Roman" w:cs="Times New Roman" w:eastAsia="Times New Roman" w:hAnsi="Times New Roman"/>
          <w:sz w:val="22"/>
          <w:szCs w:val="22"/>
        </w:rPr>
        <w:t xml:space="preserve">Figure 3. Temporal change in maternal care utilisation patterns, 2015 to 2024. (A) Cluster prevalences by survey year, with aligned 2015 and 2024 clusters. (B) Feature-level changes (2024 minus 2015; asterisks indicate p &lt; 0.05). (C) Shared PCA projection: cluster centroids for 2015 and 2024.</w:t>
      </w:r>
    </w:p>
    <w:p>
      <w:pPr>
        <w:spacing w:after="80" w:before="120"/>
      </w:pPr>
      <w:r>
        <w:rPr>
          <w:rFonts w:ascii="Times New Roman" w:cs="Times New Roman" w:eastAsia="Times New Roman" w:hAnsi="Times New Roman"/>
          <w:sz w:val="22"/>
          <w:szCs w:val="22"/>
        </w:rPr>
        <w:t xml:space="preserve">Figure 4. Cluster prevalence by subgroup: MDHS 2015 (top row) and MDHS 2024 (bottom row). (A) Residence (urban/rural). (B) Wealth quintile (poorest to richest). (C) Age group (adolescent, young adult, older).</w:t>
      </w:r>
    </w:p>
    <w:p>
      <w:pPr>
        <w:spacing w:after="80" w:before="120"/>
      </w:pPr>
      <w:r>
        <w:rPr>
          <w:rFonts w:ascii="Times New Roman" w:cs="Times New Roman" w:eastAsia="Times New Roman" w:hAnsi="Times New Roman"/>
          <w:sz w:val="22"/>
          <w:szCs w:val="22"/>
        </w:rPr>
        <w:t xml:space="preserve">Figure 5. Predictors of cluster membership. (A) Random Forest variable importance (MDI), top 12 predictors for 2015 and 2024. (B) Per-cluster F1 scores from 5-fold cross-validation, with dashed lines marking macro F1.</w:t>
      </w:r>
    </w:p>
    <w:p>
      <w:pPr>
        <w:spacing w:after="80" w:before="120"/>
      </w:pPr>
      <w:r>
        <w:rPr>
          <w:rFonts w:ascii="Times New Roman" w:cs="Times New Roman" w:eastAsia="Times New Roman" w:hAnsi="Times New Roman"/>
          <w:sz w:val="22"/>
          <w:szCs w:val="22"/>
        </w:rPr>
        <w:t xml:space="preserve">Figure 6. Two-dimensional summary of care utilisation patterns, with each point representing one woman coloured by her group assignment. The axes capture the two main directions of variation in care-seeking behaviour across all eleven indicators, explaining 25.1% and 15.2% of the overall variation respectively. Stars mark group centres. MDHS 2015 (left, four groups) and MDHS 2024 (right, three groups).</w:t>
      </w:r>
    </w:p>
    <w:p>
      <w:pPr>
        <w:pageBreakBefore/>
      </w:pPr>
    </w:p>
    <w:p>
      <w:pPr>
        <w:pStyle w:val="Heading1"/>
        <w:spacing w:after="100" w:before="320"/>
      </w:pPr>
      <w:r>
        <w:rPr>
          <w:rFonts w:ascii="Times New Roman" w:cs="Times New Roman" w:eastAsia="Times New Roman" w:hAnsi="Times New Roman"/>
          <w:b/>
          <w:bCs/>
          <w:color w:val="1F3864"/>
          <w:sz w:val="28"/>
          <w:szCs w:val="28"/>
        </w:rPr>
        <w:t xml:space="preserve">References</w:t>
      </w:r>
    </w:p>
    <w:p>
      <w:pPr>
        <w:spacing w:after="60" w:before="60"/>
        <w:ind w:left="360" w:hanging="360"/>
      </w:pPr>
      <w:r>
        <w:rPr>
          <w:rFonts w:ascii="Times New Roman" w:cs="Times New Roman" w:eastAsia="Times New Roman" w:hAnsi="Times New Roman"/>
          <w:sz w:val="20"/>
          <w:szCs w:val="20"/>
        </w:rPr>
        <w:t xml:space="preserve">1. WHO, UNICEF, UNFPA, World Bank, UN. Trends in Maternal Mortality 2000–2020. Geneva: WHO; 2023.</w:t>
      </w:r>
    </w:p>
    <w:p>
      <w:pPr>
        <w:spacing w:after="60" w:before="60"/>
        <w:ind w:left="360" w:hanging="360"/>
      </w:pPr>
      <w:r>
        <w:rPr>
          <w:rFonts w:ascii="Times New Roman" w:cs="Times New Roman" w:eastAsia="Times New Roman" w:hAnsi="Times New Roman"/>
          <w:sz w:val="20"/>
          <w:szCs w:val="20"/>
        </w:rPr>
        <w:t xml:space="preserve">2. GBD 2019 Maternal Mortality Collaborators. Global, regional, and national levels of maternal mortality, 1990–2019. Lancet. 2020;396:1161–1203.</w:t>
      </w:r>
    </w:p>
    <w:p>
      <w:pPr>
        <w:spacing w:after="60" w:before="60"/>
        <w:ind w:left="360" w:hanging="360"/>
      </w:pPr>
      <w:r>
        <w:rPr>
          <w:rFonts w:ascii="Times New Roman" w:cs="Times New Roman" w:eastAsia="Times New Roman" w:hAnsi="Times New Roman"/>
          <w:sz w:val="20"/>
          <w:szCs w:val="20"/>
        </w:rPr>
        <w:t xml:space="preserve">3. Bhutta ZA, et al. Can available interventions end preventable deaths in mothers, newborn babies, and stillbirths? Lancet. 2014;384:347–370.</w:t>
      </w:r>
    </w:p>
    <w:p>
      <w:pPr>
        <w:spacing w:after="60" w:before="60"/>
        <w:ind w:left="360" w:hanging="360"/>
      </w:pPr>
      <w:r>
        <w:rPr>
          <w:rFonts w:ascii="Times New Roman" w:cs="Times New Roman" w:eastAsia="Times New Roman" w:hAnsi="Times New Roman"/>
          <w:sz w:val="20"/>
          <w:szCs w:val="20"/>
        </w:rPr>
        <w:t xml:space="preserve">4. Victora CG, et al. Countdown to 2015: a decade of tracking progress for maternal, newborn, and child survival. Lancet. 2016;387:2049–2059.</w:t>
      </w:r>
    </w:p>
    <w:p>
      <w:pPr>
        <w:spacing w:after="60" w:before="60"/>
        <w:ind w:left="360" w:hanging="360"/>
      </w:pPr>
      <w:r>
        <w:rPr>
          <w:rFonts w:ascii="Times New Roman" w:cs="Times New Roman" w:eastAsia="Times New Roman" w:hAnsi="Times New Roman"/>
          <w:sz w:val="20"/>
          <w:szCs w:val="20"/>
        </w:rPr>
        <w:t xml:space="preserve">5. Malawi National Statistical Office, ICF. Malawi Demographic and Health Survey 2024. Zomba and Rockville: NSO and ICF; 2024.</w:t>
      </w:r>
    </w:p>
    <w:p>
      <w:pPr>
        <w:spacing w:after="60" w:before="60"/>
        <w:ind w:left="360" w:hanging="360"/>
      </w:pPr>
      <w:r>
        <w:rPr>
          <w:rFonts w:ascii="Times New Roman" w:cs="Times New Roman" w:eastAsia="Times New Roman" w:hAnsi="Times New Roman"/>
          <w:sz w:val="20"/>
          <w:szCs w:val="20"/>
        </w:rPr>
        <w:t xml:space="preserve">6. Government of Malawi. Health Sector Strategic Plan III 2017–2022. Lilongwe: Ministry of Health; 2017.</w:t>
      </w:r>
    </w:p>
    <w:p>
      <w:pPr>
        <w:spacing w:after="60" w:before="60"/>
        <w:ind w:left="360" w:hanging="360"/>
      </w:pPr>
      <w:r>
        <w:rPr>
          <w:rFonts w:ascii="Times New Roman" w:cs="Times New Roman" w:eastAsia="Times New Roman" w:hAnsi="Times New Roman"/>
          <w:sz w:val="20"/>
          <w:szCs w:val="20"/>
        </w:rPr>
        <w:t xml:space="preserve">7. Mlava G, Maluwa A, Chirwa E. Maternal health care services utilization in Malawi. BMC Health Serv Res. 2020;20:532.</w:t>
      </w:r>
    </w:p>
    <w:p>
      <w:pPr>
        <w:spacing w:after="60" w:before="60"/>
        <w:ind w:left="360" w:hanging="360"/>
      </w:pPr>
      <w:r>
        <w:rPr>
          <w:rFonts w:ascii="Times New Roman" w:cs="Times New Roman" w:eastAsia="Times New Roman" w:hAnsi="Times New Roman"/>
          <w:sz w:val="20"/>
          <w:szCs w:val="20"/>
        </w:rPr>
        <w:t xml:space="preserve">8. Malawi National Statistical Office, ICF. Malawi Demographic and Health Survey 2015–16. Zomba and Rockville: NSO and ICF; 2017.</w:t>
      </w:r>
    </w:p>
    <w:p>
      <w:pPr>
        <w:spacing w:after="60" w:before="60"/>
        <w:ind w:left="360" w:hanging="360"/>
      </w:pPr>
      <w:r>
        <w:rPr>
          <w:rFonts w:ascii="Times New Roman" w:cs="Times New Roman" w:eastAsia="Times New Roman" w:hAnsi="Times New Roman"/>
          <w:sz w:val="20"/>
          <w:szCs w:val="20"/>
        </w:rPr>
        <w:t xml:space="preserve">9. Kerber KJ, et al. Continuum of care for maternal, newborn, and child health. Lancet. 2007;370:1358–1369.</w:t>
      </w:r>
    </w:p>
    <w:p>
      <w:pPr>
        <w:spacing w:after="60" w:before="60"/>
        <w:ind w:left="360" w:hanging="360"/>
      </w:pPr>
      <w:r>
        <w:rPr>
          <w:rFonts w:ascii="Times New Roman" w:cs="Times New Roman" w:eastAsia="Times New Roman" w:hAnsi="Times New Roman"/>
          <w:sz w:val="20"/>
          <w:szCs w:val="20"/>
        </w:rPr>
        <w:t xml:space="preserve">10. Hastie T, Tibshirani R, Friedman J. The Elements of Statistical Learning (2nd ed.). New York: Springer; 2009.</w:t>
      </w:r>
    </w:p>
    <w:p>
      <w:pPr>
        <w:spacing w:after="60" w:before="60"/>
        <w:ind w:left="360" w:hanging="360"/>
      </w:pPr>
      <w:r>
        <w:rPr>
          <w:rFonts w:ascii="Times New Roman" w:cs="Times New Roman" w:eastAsia="Times New Roman" w:hAnsi="Times New Roman"/>
          <w:sz w:val="20"/>
          <w:szCs w:val="20"/>
        </w:rPr>
        <w:t xml:space="preserve">11. Bishop CM. Pattern Recognition and Machine Learning. New York: Springer; 2006.</w:t>
      </w:r>
    </w:p>
    <w:p>
      <w:pPr>
        <w:spacing w:after="60" w:before="60"/>
        <w:ind w:left="360" w:hanging="360"/>
      </w:pPr>
      <w:r>
        <w:rPr>
          <w:rFonts w:ascii="Times New Roman" w:cs="Times New Roman" w:eastAsia="Times New Roman" w:hAnsi="Times New Roman"/>
          <w:sz w:val="20"/>
          <w:szCs w:val="20"/>
        </w:rPr>
        <w:t xml:space="preserve">12. Benova L, et al. Two decades of antenatal and delivery care in Uganda. BMC Health Serv Res. 2018;18:758.</w:t>
      </w:r>
    </w:p>
    <w:p>
      <w:pPr>
        <w:spacing w:after="60" w:before="60"/>
        <w:ind w:left="360" w:hanging="360"/>
      </w:pPr>
      <w:r>
        <w:rPr>
          <w:rFonts w:ascii="Times New Roman" w:cs="Times New Roman" w:eastAsia="Times New Roman" w:hAnsi="Times New Roman"/>
          <w:sz w:val="20"/>
          <w:szCs w:val="20"/>
        </w:rPr>
        <w:t xml:space="preserve">13. Nwala G, et al. Cluster analysis of antenatal care utilisation. Int J Gynecol Obstet. 2022;156:512–519.</w:t>
      </w:r>
    </w:p>
    <w:p>
      <w:pPr>
        <w:spacing w:after="60" w:before="60"/>
        <w:ind w:left="360" w:hanging="360"/>
      </w:pPr>
      <w:r>
        <w:rPr>
          <w:rFonts w:ascii="Times New Roman" w:cs="Times New Roman" w:eastAsia="Times New Roman" w:hAnsi="Times New Roman"/>
          <w:sz w:val="20"/>
          <w:szCs w:val="20"/>
        </w:rPr>
        <w:t xml:space="preserve">14. Afulani PA, et al. Person-centred maternity care in Kenya, Ghana, and India. Lancet Glob Health. 2019;7:e96–e109.</w:t>
      </w:r>
    </w:p>
    <w:p>
      <w:pPr>
        <w:spacing w:after="60" w:before="60"/>
        <w:ind w:left="360" w:hanging="360"/>
      </w:pPr>
      <w:r>
        <w:rPr>
          <w:rFonts w:ascii="Times New Roman" w:cs="Times New Roman" w:eastAsia="Times New Roman" w:hAnsi="Times New Roman"/>
          <w:sz w:val="20"/>
          <w:szCs w:val="20"/>
        </w:rPr>
        <w:t xml:space="preserve">15. WHO. WHO Recommendations on Antenatal Care for a Positive Pregnancy Experience. Geneva: WHO; 2016.</w:t>
      </w:r>
    </w:p>
    <w:p>
      <w:pPr>
        <w:spacing w:after="60" w:before="60"/>
        <w:ind w:left="360" w:hanging="360"/>
      </w:pPr>
      <w:r>
        <w:rPr>
          <w:rFonts w:ascii="Times New Roman" w:cs="Times New Roman" w:eastAsia="Times New Roman" w:hAnsi="Times New Roman"/>
          <w:sz w:val="20"/>
          <w:szCs w:val="20"/>
        </w:rPr>
        <w:t xml:space="preserve">16. Benova L, et al. Cross-country comparison of facility delivery in sub-Saharan Africa. Glob Health Action. 2021;14:1–11.</w:t>
      </w:r>
    </w:p>
    <w:p>
      <w:pPr>
        <w:spacing w:after="60" w:before="60"/>
        <w:ind w:left="360" w:hanging="360"/>
      </w:pPr>
      <w:r>
        <w:rPr>
          <w:rFonts w:ascii="Times New Roman" w:cs="Times New Roman" w:eastAsia="Times New Roman" w:hAnsi="Times New Roman"/>
          <w:sz w:val="20"/>
          <w:szCs w:val="20"/>
        </w:rPr>
        <w:t xml:space="preserve">17. Kancheya N, Kazembe L, Muula AS. Factors associated with maternal health care utilisation in peri-urban Malawi. Malawi Med J. 2021;33:123–129.</w:t>
      </w:r>
    </w:p>
    <w:p>
      <w:pPr>
        <w:spacing w:after="60" w:before="60"/>
        <w:ind w:left="360" w:hanging="360"/>
      </w:pPr>
      <w:r>
        <w:rPr>
          <w:rFonts w:ascii="Times New Roman" w:cs="Times New Roman" w:eastAsia="Times New Roman" w:hAnsi="Times New Roman"/>
          <w:sz w:val="20"/>
          <w:szCs w:val="20"/>
        </w:rPr>
        <w:t xml:space="preserve">18. Chandra-Mouli V, et al. WHO guidelines on preventing early pregnancy in developing countries. J Adolesc Health. 2013;52:517–522.</w:t>
      </w:r>
    </w:p>
    <w:p>
      <w:pPr>
        <w:spacing w:after="60" w:before="60"/>
        <w:ind w:left="360" w:hanging="360"/>
      </w:pPr>
      <w:r>
        <w:rPr>
          <w:rFonts w:ascii="Times New Roman" w:cs="Times New Roman" w:eastAsia="Times New Roman" w:hAnsi="Times New Roman"/>
          <w:sz w:val="20"/>
          <w:szCs w:val="20"/>
        </w:rPr>
        <w:t xml:space="preserve">19. Blanco-Zuñiga J, et al. Barriers and facilitators of maternal health services by adolescents in LMICs. Glob Health Sci Pract. 2021;9:441–455.</w:t>
      </w:r>
    </w:p>
    <w:p>
      <w:pPr>
        <w:spacing w:after="60" w:before="60"/>
        <w:ind w:left="360" w:hanging="360"/>
      </w:pPr>
      <w:r>
        <w:rPr>
          <w:rFonts w:ascii="Times New Roman" w:cs="Times New Roman" w:eastAsia="Times New Roman" w:hAnsi="Times New Roman"/>
          <w:sz w:val="20"/>
          <w:szCs w:val="20"/>
        </w:rPr>
        <w:t xml:space="preserve">20. Salam RA, et al. Interventions to improve adolescent nutrition. J Adolesc Health. 2016;59:S29–S39.</w:t>
      </w:r>
    </w:p>
    <w:p>
      <w:pPr>
        <w:spacing w:after="60" w:before="60"/>
        <w:ind w:left="360" w:hanging="360"/>
      </w:pPr>
      <w:r>
        <w:rPr>
          <w:rFonts w:ascii="Times New Roman" w:cs="Times New Roman" w:eastAsia="Times New Roman" w:hAnsi="Times New Roman"/>
          <w:sz w:val="20"/>
          <w:szCs w:val="20"/>
        </w:rPr>
        <w:t xml:space="preserve">21. Owusu-Addo E, et al. Impact of cash transfers on social determinants of health in sub-Saharan Africa. Health Policy Plan. 2018;33:675–696.</w:t>
      </w:r>
    </w:p>
    <w:p>
      <w:pPr>
        <w:spacing w:after="60" w:before="60"/>
        <w:ind w:left="360" w:hanging="360"/>
      </w:pPr>
      <w:r>
        <w:rPr>
          <w:rFonts w:ascii="Times New Roman" w:cs="Times New Roman" w:eastAsia="Times New Roman" w:hAnsi="Times New Roman"/>
          <w:sz w:val="20"/>
          <w:szCs w:val="20"/>
        </w:rPr>
        <w:t xml:space="preserve">22. Kruk ME, et al. High-quality health systems in the SDGs era. Lancet Glob Health. 2018;6:e1196–e1252.</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1"/>
      </w:pBdr>
      <w:tabs>
        <w:tab w:val="right" w:pos="9360"/>
      </w:tabs>
    </w:pPr>
    <w:r>
      <w:rPr>
        <w:rFonts w:ascii="Times New Roman" w:cs="Times New Roman" w:eastAsia="Times New Roman" w:hAnsi="Times New Roman"/>
        <w:i/>
        <w:iCs/>
        <w:color w:val="666666"/>
        <w:sz w:val="18"/>
        <w:szCs w:val="18"/>
      </w:rPr>
      <w:t xml:space="preserve">Maternal care utilisation clusters in Malawi: 2015 vs 2024</w:t>
    </w:r>
    <w:r>
      <w:rPr>
        <w:sz w:val="18"/>
        <w:szCs w:val="18"/>
      </w:rPr>
      <w:t xml:space="preserve">	</w:t>
    </w:r>
    <w:r>
      <w:rPr>
        <w:rFonts w:ascii="Times New Roman" w:cs="Times New Roman" w:eastAsia="Times New Roman" w:hAnsi="Times New Roman"/>
        <w:color w:val="666666"/>
        <w:sz w:val="18"/>
        <w:szCs w:val="1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32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color w:val="2E4F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2320978ac6462d5cd85b85e1a29990986aea23fc.png"/><Relationship Id="rId9" Type="http://schemas.openxmlformats.org/officeDocument/2006/relationships/image" Target="media/1b6b8c0a7f1966b8a99f37d14aa4141bdb98df08.png"/><Relationship Id="rId10" Type="http://schemas.openxmlformats.org/officeDocument/2006/relationships/image" Target="media/6fd296fc6e61cba53ea9a76b3e3a89162e50a92b.png"/><Relationship Id="rId11" Type="http://schemas.openxmlformats.org/officeDocument/2006/relationships/image" Target="media/873842389736f4f48b570785fbfa047f80d72c3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2026-03-12T20:09:01.280Z</dcterms:created>
  <dcterms:modified xsi:type="dcterms:W3CDTF">2026-03-12T20:09:01.285Z</dcterms:modified>
</cp:coreProperties>
</file>

<file path=docProps/custom.xml><?xml version="1.0" encoding="utf-8"?>
<Properties xmlns="http://schemas.openxmlformats.org/officeDocument/2006/custom-properties" xmlns:vt="http://schemas.openxmlformats.org/officeDocument/2006/docPropsVTypes"/>
</file>