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20"/>
        <w:jc w:val="center"/>
      </w:pPr>
      <w:r>
        <w:rPr>
          <w:rFonts w:ascii="Times New Roman" w:cs="Times New Roman" w:eastAsia="Times New Roman" w:hAnsi="Times New Roman"/>
          <w:b/>
          <w:bCs/>
          <w:sz w:val="30"/>
          <w:szCs w:val="30"/>
        </w:rPr>
        <w:t xml:space="preserve">Temporal Patterns of Maternal Health Care Utilisation in Malawi: A Comparative Unsupervised Learning Analysis of the 2015 and 2024 Demographic and Health Surveys</w:t>
      </w:r>
    </w:p>
    <w:p>
      <w:pPr>
        <w:spacing w:after="60" w:before="80"/>
        <w:jc w:val="center"/>
      </w:pPr>
      <w:r>
        <w:rPr>
          <w:rFonts w:ascii="Times New Roman" w:cs="Times New Roman" w:eastAsia="Times New Roman" w:hAnsi="Times New Roman"/>
          <w:i/>
          <w:iCs/>
          <w:sz w:val="20"/>
          <w:szCs w:val="20"/>
        </w:rPr>
        <w:t xml:space="preserve">Running title: Maternal care utilisation clusters in Malawi: 2015 vs 2024</w:t>
      </w:r>
    </w:p>
    <w:p>
      <w:pPr>
        <w:spacing w:after="0" w:before="120"/>
      </w:pPr>
    </w:p>
    <w:p>
      <w:pPr>
        <w:spacing w:after="40" w:before="0"/>
        <w:jc w:val="center"/>
      </w:pPr>
      <w:r>
        <w:rPr>
          <w:rFonts w:ascii="Times New Roman" w:cs="Times New Roman" w:eastAsia="Times New Roman" w:hAnsi="Times New Roman"/>
          <w:sz w:val="22"/>
          <w:szCs w:val="22"/>
        </w:rPr>
        <w:t xml:space="preserve">[Author 1, MD, PhD]¹, [Author 2, MSc]², [Author 3, PhD]³</w:t>
      </w:r>
    </w:p>
    <w:p>
      <w:pPr>
        <w:spacing w:after="20" w:before="0"/>
        <w:jc w:val="center"/>
      </w:pPr>
      <w:r>
        <w:rPr>
          <w:rFonts w:ascii="Times New Roman" w:cs="Times New Roman" w:eastAsia="Times New Roman" w:hAnsi="Times New Roman"/>
          <w:sz w:val="20"/>
          <w:szCs w:val="20"/>
        </w:rPr>
        <w:t xml:space="preserve">¹ [Institution 1], [Country]</w:t>
      </w:r>
    </w:p>
    <w:p>
      <w:pPr>
        <w:spacing w:after="20" w:before="0"/>
        <w:jc w:val="center"/>
      </w:pPr>
      <w:r>
        <w:rPr>
          <w:rFonts w:ascii="Times New Roman" w:cs="Times New Roman" w:eastAsia="Times New Roman" w:hAnsi="Times New Roman"/>
          <w:sz w:val="20"/>
          <w:szCs w:val="20"/>
        </w:rPr>
        <w:t xml:space="preserve">² [Institution 2], [Country]</w:t>
      </w:r>
    </w:p>
    <w:p>
      <w:pPr>
        <w:spacing w:after="120" w:before="0"/>
        <w:jc w:val="center"/>
      </w:pPr>
      <w:r>
        <w:rPr>
          <w:rFonts w:ascii="Times New Roman" w:cs="Times New Roman" w:eastAsia="Times New Roman" w:hAnsi="Times New Roman"/>
          <w:sz w:val="20"/>
          <w:szCs w:val="20"/>
        </w:rPr>
        <w:t xml:space="preserve">³ [Institution 3], [Country]</w:t>
      </w:r>
    </w:p>
    <w:p>
      <w:pPr>
        <w:spacing w:after="40" w:before="0"/>
        <w:jc w:val="center"/>
      </w:pPr>
      <w:r>
        <w:rPr>
          <w:rFonts w:ascii="Times New Roman" w:cs="Times New Roman" w:eastAsia="Times New Roman" w:hAnsi="Times New Roman"/>
          <w:i/>
          <w:iCs/>
          <w:sz w:val="20"/>
          <w:szCs w:val="20"/>
        </w:rPr>
        <w:t xml:space="preserve">Corresponding author: [Name] | [Email] | [Address]</w:t>
      </w:r>
    </w:p>
    <w:p>
      <w:pPr>
        <w:spacing w:after="0" w:before="120"/>
      </w:pPr>
    </w:p>
    <w:p>
      <w:pPr>
        <w:spacing w:after="40" w:before="0"/>
        <w:jc w:val="center"/>
      </w:pPr>
      <w:r>
        <w:rPr>
          <w:rFonts w:ascii="Times New Roman" w:cs="Times New Roman" w:eastAsia="Times New Roman" w:hAnsi="Times New Roman"/>
          <w:sz w:val="20"/>
          <w:szCs w:val="20"/>
        </w:rPr>
        <w:t xml:space="preserve">Word count (main text, excluding abstract/tables/references): ~5,600</w:t>
      </w:r>
    </w:p>
    <w:p>
      <w:pPr>
        <w:spacing w:after="40" w:before="0"/>
        <w:jc w:val="center"/>
      </w:pPr>
      <w:r>
        <w:rPr>
          <w:rFonts w:ascii="Times New Roman" w:cs="Times New Roman" w:eastAsia="Times New Roman" w:hAnsi="Times New Roman"/>
          <w:sz w:val="20"/>
          <w:szCs w:val="20"/>
        </w:rPr>
        <w:t xml:space="preserve">Keywords: maternal health care utilisation, unsupervised learning, cluster analysis, Gaussian mixture models, continuum of care, temporal trends, Malawi, sub-Saharan Africa, adolescent maternal health, health equity</w:t>
      </w:r>
    </w:p>
    <w:p>
      <w:pPr>
        <w:pageBreakBefore/>
      </w:pPr>
    </w:p>
    <w:p>
      <w:pPr>
        <w:pStyle w:val="Heading1"/>
        <w:spacing w:after="100" w:before="320"/>
      </w:pPr>
      <w:r>
        <w:rPr>
          <w:rFonts w:ascii="Times New Roman" w:cs="Times New Roman" w:eastAsia="Times New Roman" w:hAnsi="Times New Roman"/>
          <w:b/>
          <w:bCs/>
          <w:color w:val="1F3864"/>
          <w:sz w:val="28"/>
          <w:szCs w:val="28"/>
        </w:rPr>
        <w:t xml:space="preserve">Abstract</w:t>
      </w:r>
    </w:p>
    <w:p>
      <w:pPr>
        <w:spacing w:after="100" w:before="100" w:line="480" w:lineRule="auto"/>
        <w:jc w:val="both"/>
      </w:pP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Malawi has made substantial investments in maternal health services over the past decade, yet heterogeneity in how women engage across the full continuum of antenatal, delivery, and postnatal care remains incompletely characterised. Data-driven methods are needed to identify distinct utilisation patterns and their sociodemographic determinants.</w:t>
      </w:r>
    </w:p>
    <w:p>
      <w:pPr>
        <w:spacing w:after="100" w:before="100" w:line="480" w:lineRule="auto"/>
        <w:jc w:val="both"/>
      </w:pP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used a data-driven statistical grouping method (Gaussian Mixture Model clustering) applied independently to harmonised individual-level data from the 2015 MDHS (n = 13,030) and 2024 MDHS (n = 6,925). Eleven care indicators were included spanning the full continuum: antenatal care (visit timing, frequency, provider skill, early initiation, adequacy, and optimality), delivery care (facility delivery, skilled attendance, caesarean section), and postnatal care receipt. The number of groups was determined using standard statistical fit criteria. Groups were matched across survey years using an optimal assignment procedure. Subgroup analyses examined group distributions by residence, wealth, age, and education. Predictors of group membership were identified using multinomial logistic regression and a machine learning method (Random Forest), validated by cross-validation. All analyses were conducted in Python.</w:t>
      </w:r>
    </w:p>
    <w:p>
      <w:pPr>
        <w:spacing w:after="100" w:before="100" w:line="480" w:lineRule="auto"/>
        <w:jc w:val="both"/>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A four-cluster solution was identified for 2015 and a three-cluster solution for 2024. In 2015, the dominant pattern was “late/inadequate ANC with facility delivery” (60.1%), alongside a “comprehensive care” cluster (24.2%), a “caesarean/high PNC” cluster (7.0%), and a “minimal utilisation” cluster (8.8%). By 2024, the “comprehensive care” cluster had nearly doubled (24.2% to 46.7%), the “late ANC/facility delivery” cluster declined (60.1% to 48.4%), and the “minimal utilisation” cluster was no longer identifiable. The largest single improvement was early ANC initiation (26.0% to 57.5%; a 31.5 percent increase; p &lt; 0.001). Sociodemographic gradients were significant across all subgroups (all p &lt; 0.001), but effect sizes narrowed: Cramér’s V for residence declined from 0.123 (2015) to 0.055 (2024), and for wealth quintile from 0.090 to 0.059, indicating more equitable distribution of high-coverage care. Adolescent women (15–19 years) showed the lowest rates of comprehensive ANC in both years (19.7% in 2015, 43.3% in 2024), with a persistent gap relative to women aged 20–34 (24.6% and 48.2%, respectively). The sociodemographic predictability of group membership improved between survey years; age, parity, and region were the strongest predictors in both years.</w:t>
      </w:r>
    </w:p>
    <w:p>
      <w:pPr>
        <w:spacing w:after="100" w:before="100" w:line="480" w:lineRule="auto"/>
        <w:jc w:val="both"/>
      </w:pP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Malawi’s maternal health system has achieved remarkable progress in shifting women from late, inadequate antenatal care to comprehensive engagement across the continuum. The near-elimination of the minimal utilisation cluster and the doubling of high-coverage care are particularly notable. Despite these gains, adolescent women and the poorest quintile continue to show lower rates of comprehensive care, and a substantial proportion of women (approximately 48%) still initiate ANC late. Targeted strategies addressing adolescent-specific barriers and demand-side constraints among the poorest women are needed to close persistent gaps.</w:t>
      </w:r>
    </w:p>
    <w:p>
      <w:pPr>
        <w:pageBreakBefore/>
      </w:pPr>
    </w:p>
    <w:p>
      <w:pPr>
        <w:pStyle w:val="Heading1"/>
        <w:spacing w:after="100" w:before="320"/>
      </w:pPr>
      <w:r>
        <w:rPr>
          <w:rFonts w:ascii="Times New Roman" w:cs="Times New Roman" w:eastAsia="Times New Roman" w:hAnsi="Times New Roman"/>
          <w:b/>
          <w:bCs/>
          <w:color w:val="1F3864"/>
          <w:sz w:val="28"/>
          <w:szCs w:val="28"/>
        </w:rPr>
        <w:t xml:space="preserve">Introduction</w:t>
      </w:r>
    </w:p>
    <w:p>
      <w:pPr>
        <w:spacing w:after="100" w:before="60" w:line="480" w:lineRule="auto"/>
        <w:jc w:val="both"/>
      </w:pPr>
      <w:r>
        <w:rPr>
          <w:rFonts w:ascii="Times New Roman" w:cs="Times New Roman" w:eastAsia="Times New Roman" w:hAnsi="Times New Roman"/>
          <w:sz w:val="22"/>
          <w:szCs w:val="22"/>
        </w:rPr>
        <w:t xml:space="preserve">Despite global reductions in maternal mortality, sub-Saharan Africa bears a disproportionate burden, accounting for approximately two-thirds of all maternal deaths worldwide [1,2]. Evidence consistently demonstrates that timely engagement across the continuum of antenatal, intrapartum, and postnatal care is protective against preventable maternal deaths [3,4]. Malawi’s maternal mortality ratio declined from approximately 1,190 per 100,000 live births in 2000 to 381 per 100,000 in 2020 [5], a trajectory shaped by policy investments including the expansion of Emergency Obstetric Care, free maternity services, and community health worker programmes [6,7]. The 2024 Malawi Demographic and Health Survey (MDHS) provides an opportunity to assess whether a decade of investment has translated into measurable change in how women engage with maternal health services. Prior analyses of single DHS indicators demonstrate aggregate improvements [8], but these approaches mask heterogeneity in the sequencing and quality of care-seeking across the full continuum.</w:t>
      </w:r>
    </w:p>
    <w:p>
      <w:pPr>
        <w:spacing w:after="100" w:before="60" w:line="480" w:lineRule="auto"/>
        <w:jc w:val="both"/>
      </w:pPr>
      <w:r>
        <w:rPr>
          <w:rFonts w:ascii="Times New Roman" w:cs="Times New Roman" w:eastAsia="Times New Roman" w:hAnsi="Times New Roman"/>
          <w:sz w:val="22"/>
          <w:szCs w:val="22"/>
        </w:rPr>
        <w:t xml:space="preserve">The “continuum of care” framework [9] positions antenatal care (ANC), skilled intrapartum care, and postnatal care (PNC) as interconnected phases in which engagement at each stage reinforces uptake at the next. Dropout at any point diminishes the cumulative protective benefit. Two women may each attend four ANC visits yet differ profoundly in the timing, quality, and clinical content of those visits, distinctions that carry meaningful implications for detection and management of complications. Single-indicator analyses fail to capture this multi-dimensional heterogeneity. Cluster analysis offers a data-driven alternative that identifies distinct patterns of care-seeking across multiple dimensions simultaneously, without requiring prior assumptions about how many groups exist or what they should look like [10,11].</w:t>
      </w:r>
    </w:p>
    <w:p>
      <w:pPr>
        <w:spacing w:after="100" w:before="60" w:line="480" w:lineRule="auto"/>
        <w:jc w:val="both"/>
      </w:pPr>
      <w:r>
        <w:rPr>
          <w:rFonts w:ascii="Times New Roman" w:cs="Times New Roman" w:eastAsia="Times New Roman" w:hAnsi="Times New Roman"/>
          <w:sz w:val="22"/>
          <w:szCs w:val="22"/>
        </w:rPr>
        <w:t xml:space="preserve">Several studies have applied cluster analysis to DHS maternal care data [12–14], consistently identifying two to four distinct utilisation patterns and demonstrating associations with sociodemographic factors. However, comparative studies that span two DHS surveys and directly assess how these patterns evolved over time remain scarce, particularly for Malawi where such evidence is needed to inform health policy. This study aimed to: (1) identify distinct patterns of maternal health care utilisation in the 2015 and 2024 MDHS; (2) compare the prevalence and profiles of these patterns across survey rounds; (3) examine whether sociodemographic gradients in group membership narrowed between 2015 and 2024; and (4) identify the sociodemographic factors most strongly associated with group membership.</w:t>
      </w:r>
    </w:p>
    <w:p>
      <w:pPr>
        <w:pageBreakBefore/>
      </w:pPr>
    </w:p>
    <w:p>
      <w:pPr>
        <w:pStyle w:val="Heading1"/>
        <w:spacing w:after="100" w:before="320"/>
      </w:pPr>
      <w:r>
        <w:rPr>
          <w:rFonts w:ascii="Times New Roman" w:cs="Times New Roman" w:eastAsia="Times New Roman" w:hAnsi="Times New Roman"/>
          <w:b/>
          <w:bCs/>
          <w:color w:val="1F3864"/>
          <w:sz w:val="28"/>
          <w:szCs w:val="28"/>
        </w:rPr>
        <w:t xml:space="preserve">Methods</w:t>
      </w:r>
    </w:p>
    <w:p>
      <w:pPr>
        <w:spacing w:after="100" w:before="60" w:line="480" w:lineRule="auto"/>
        <w:jc w:val="both"/>
      </w:pPr>
      <w:r>
        <w:rPr>
          <w:rFonts w:ascii="Times New Roman" w:cs="Times New Roman" w:eastAsia="Times New Roman" w:hAnsi="Times New Roman"/>
          <w:sz w:val="22"/>
          <w:szCs w:val="22"/>
        </w:rPr>
        <w:t xml:space="preserve">We used individual recode datasets from two nationally representative MDHS surveys: MDHS 2015 (dataset MWIR7AFL; n = 24,562 women aged 15–49) and MDHS 2024 (dataset MWIR81FL; n = 21,587). Both employ stratified two-stage cluster sampling with probability-proportional-to-size selection. The study population was restricted to women with at least one live birth in the five years preceding interview (MDHS 2015: n = 13,448; MDHS 2024: n = 10,536), ensuring that utilisation variables referenced a recent and comparable pregnancy. Women with missing data on any clustering variable were excluded under a complete-case approach: 418 women in 2015 (3.1%) and 3,611 in 2024 (34.3%), yielding analysis samples of </w:t>
      </w:r>
      <w:r>
        <w:rPr>
          <w:rFonts w:ascii="Times New Roman" w:cs="Times New Roman" w:eastAsia="Times New Roman" w:hAnsi="Times New Roman"/>
          <w:b/>
          <w:bCs/>
          <w:sz w:val="22"/>
          <w:szCs w:val="22"/>
        </w:rPr>
        <w:t xml:space="preserve">n = 13,030 (2015)</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n = 6,925 (2024)</w:t>
      </w:r>
      <w:r>
        <w:rPr>
          <w:rFonts w:ascii="Times New Roman" w:cs="Times New Roman" w:eastAsia="Times New Roman" w:hAnsi="Times New Roman"/>
          <w:sz w:val="22"/>
          <w:szCs w:val="22"/>
        </w:rPr>
        <w:t xml:space="preserve">. The higher exclusion proportion in 2024 reflects the structure of the 2024 survey instrument, as women who did not attend ANC were not asked follow-up questions on visit timing or count, generating structurally missing data that appropriately represents non-engagement.</w:t>
      </w:r>
    </w:p>
    <w:p>
      <w:pPr>
        <w:spacing w:after="100" w:before="60" w:line="480" w:lineRule="auto"/>
        <w:jc w:val="both"/>
      </w:pPr>
      <w:r>
        <w:rPr>
          <w:rFonts w:ascii="Times New Roman" w:cs="Times New Roman" w:eastAsia="Times New Roman" w:hAnsi="Times New Roman"/>
          <w:sz w:val="22"/>
          <w:szCs w:val="22"/>
        </w:rPr>
        <w:t xml:space="preserve">Eleven utilisation features were extracted and harmonised across survey rounds using standard DHS variable names. Where variable coding differed between rounds, specifically for place of delivery, residence, and wealth quintile, empirically derived coding schemes were applied and documented. Features spanned three domains. Antenatal care variables included: month of first ANC visit (continuous, 1–9); total ANC visits (continuous, capped at 20); skilled ANC provider (binary: doctor or nurse/midwife); early ANC initiation (binary: first visit within the first trimester); adequate ANC (binary: four or more visits, WHO minimum); optimal ANC (binary: eight or more visits, updated WHO 2016 guideline [15]); and whether the woman was informed about danger signs (binary). Delivery care variables included: facility delivery (binary); skilled birth attendant (binary: doctor or nurse/midwife); and caesarean section (binary). The postnatal care domain was captured by a single binary variable for PNC receipt. Sociodemographic variables, including age, age group, residence, wealth quintile, education, parity, region, marital status, and perceived distance to facility, were extracted for validation and predictor analyses only and were not included in clustering.</w:t>
      </w:r>
    </w:p>
    <w:p>
      <w:pPr>
        <w:spacing w:after="100" w:before="60" w:line="480" w:lineRule="auto"/>
        <w:jc w:val="both"/>
      </w:pPr>
      <w:r>
        <w:rPr>
          <w:rFonts w:ascii="Times New Roman" w:cs="Times New Roman" w:eastAsia="Times New Roman" w:hAnsi="Times New Roman"/>
          <w:sz w:val="22"/>
          <w:szCs w:val="22"/>
        </w:rPr>
        <w:t xml:space="preserve">We used a statistical grouping method called Gaussian Mixture Model (GMM) clustering, applied independently to each survey year, to identify distinct patterns of care utilisation. Rather than forcing each woman into a single rigid group, GMM estimates the probability that each woman belongs to each group, making it well suited to care-seeking data where the boundaries between patterns are not always clear-cut. Solutions with two to six groups were tested per year, each run ten times with different starting conditions to ensure stable results. The best number of groups was chosen using two standard statistical fit criteria: the Bayesian Information Criterion (which identifies the simplest model that fits the data well) and the silhouette coefficient (which measures how clearly separated the groups are). These were combined in a weighted score (60% and 40%, respectively), with the requirement that every group contain at least 5% of women to ensure meaningful group sizes. All continuous indicators were standardised before fitting. A density-based clustering approach was also run as a sensitivity check.</w:t>
      </w:r>
    </w:p>
    <w:p>
      <w:pPr>
        <w:spacing w:after="100" w:before="60" w:line="480" w:lineRule="auto"/>
        <w:jc w:val="both"/>
      </w:pPr>
      <w:r>
        <w:rPr>
          <w:rFonts w:ascii="Times New Roman" w:cs="Times New Roman" w:eastAsia="Times New Roman" w:hAnsi="Times New Roman"/>
          <w:sz w:val="22"/>
          <w:szCs w:val="22"/>
        </w:rPr>
        <w:t xml:space="preserve">To compare groups across the two survey years, each 2024 group was matched to its closest 2015 counterpart using an optimal assignment procedure (the Hungarian algorithm). This method finds the best one-to-one pairing between the two sets of groups by minimising the total difference in their care profiles across all eleven indicators, enabling direct tracking of how each pattern changed over time. All analyses were conducted in Python.</w:t>
      </w:r>
    </w:p>
    <w:p>
      <w:pPr>
        <w:spacing w:after="100" w:before="60" w:line="480" w:lineRule="auto"/>
        <w:jc w:val="both"/>
      </w:pPr>
      <w:r>
        <w:rPr>
          <w:rFonts w:ascii="Times New Roman" w:cs="Times New Roman" w:eastAsia="Times New Roman" w:hAnsi="Times New Roman"/>
          <w:sz w:val="22"/>
          <w:szCs w:val="22"/>
        </w:rPr>
        <w:t xml:space="preserve">We examined how group membership varied across four sociodemographic factors: place of residence (urban/rural), household wealth (five quintiles from poorest to richest), age group (adolescent 15–19; young adult 20–34; older 35–49), and education level. Chi-square tests assessed whether these differences were statistically significant, and Cramér’s V measured the strength of association (below 0.1 = weak; 0.1–0.3 = moderate; above 0.3 = strong). To identify which factors best predicted group membership, we used two complementary approaches: multinomial logistic regression, which estimates adjusted odds ratios for belonging to each group while simultaneously accounting for all other sociodemographic factors; and Random Forest, a machine learning method that ranks each factor by how much it improves the separation between groups, with accuracy assessed by cross-validation across five data splits. Both approaches were run separately per survey year to allow direct temporal comparison. Both DHS surveys were conducted under protocols approved by the ICF Institutional Review Board and the Malawi National Health Sciences Research Committee. Participation was voluntary and data are anonymised; secondary analysis of publicly available de-identified data does not require additional ethics approval.</w:t>
      </w:r>
    </w:p>
    <w:p>
      <w:pPr>
        <w:pageBreakBefore/>
      </w:pPr>
    </w:p>
    <w:p>
      <w:pPr>
        <w:pStyle w:val="Heading1"/>
        <w:spacing w:after="100" w:before="320"/>
      </w:pPr>
      <w:r>
        <w:rPr>
          <w:rFonts w:ascii="Times New Roman" w:cs="Times New Roman" w:eastAsia="Times New Roman" w:hAnsi="Times New Roman"/>
          <w:b/>
          <w:bCs/>
          <w:color w:val="1F3864"/>
          <w:sz w:val="28"/>
          <w:szCs w:val="28"/>
        </w:rPr>
        <w:t xml:space="preserve">Results</w:t>
      </w:r>
    </w:p>
    <w:p>
      <w:pPr>
        <w:spacing w:after="100" w:before="60" w:line="480" w:lineRule="auto"/>
        <w:jc w:val="both"/>
      </w:pPr>
      <w:r>
        <w:rPr>
          <w:rFonts w:ascii="Times New Roman" w:cs="Times New Roman" w:eastAsia="Times New Roman" w:hAnsi="Times New Roman"/>
          <w:sz w:val="22"/>
          <w:szCs w:val="22"/>
        </w:rPr>
        <w:t xml:space="preserve">The sociodemographic characteristics of the two analytic samples are summarised in Table 1. The 2024 sample was significantly younger (mean age 26.9 ± 6.9 vs 28.1 ± 7.0 years; p &lt; 0.001), with a notably higher proportion of adolescent women aged 15–19 years (13.4% vs 8.5%). Women in 2024 had lower mean parity (2.7 ± 1.8 vs 3.3 ± 2.1; p &lt; 0.001) and were less likely to be married (69.6% vs 76.9%; p &lt; 0.001), consistent with trends toward later marriage and smaller family sizes. The education profile improved markedly: the proportion with no formal education halved from 11.6% to 6.2%, while secondary education rose from 21.4% to 25.8% (overall p &lt; 0.001). Both samples were predominantly rural (82.7% and 81.3% respectively; p = 0.013), with similar regional distributions (p = 0.058). The proportion reporting distance as a barrier to care declined from 53.4% to 49.3% (p &lt; 0.001).</w:t>
      </w:r>
    </w:p>
    <w:p>
      <w:pPr>
        <w:spacing w:after="100" w:before="60" w:line="480" w:lineRule="auto"/>
        <w:jc w:val="both"/>
      </w:pPr>
      <w:r>
        <w:rPr>
          <w:rFonts w:ascii="Times New Roman" w:cs="Times New Roman" w:eastAsia="Times New Roman" w:hAnsi="Times New Roman"/>
          <w:sz w:val="22"/>
          <w:szCs w:val="22"/>
        </w:rPr>
        <w:t xml:space="preserve">The 2015 analysis sample comprised </w:t>
      </w:r>
      <w:r>
        <w:rPr>
          <w:rFonts w:ascii="Times New Roman" w:cs="Times New Roman" w:eastAsia="Times New Roman" w:hAnsi="Times New Roman"/>
          <w:b/>
          <w:bCs/>
          <w:sz w:val="22"/>
          <w:szCs w:val="22"/>
        </w:rPr>
        <w:t xml:space="preserve">13,030 women</w:t>
      </w:r>
      <w:r>
        <w:rPr>
          <w:rFonts w:ascii="Times New Roman" w:cs="Times New Roman" w:eastAsia="Times New Roman" w:hAnsi="Times New Roman"/>
          <w:sz w:val="22"/>
          <w:szCs w:val="22"/>
        </w:rPr>
        <w:t xml:space="preserve"> (mean age 28.1 years) and the 2024 sample comprised </w:t>
      </w:r>
      <w:r>
        <w:rPr>
          <w:rFonts w:ascii="Times New Roman" w:cs="Times New Roman" w:eastAsia="Times New Roman" w:hAnsi="Times New Roman"/>
          <w:b/>
          <w:bCs/>
          <w:sz w:val="22"/>
          <w:szCs w:val="22"/>
        </w:rPr>
        <w:t xml:space="preserve">6,925 women</w:t>
      </w:r>
      <w:r>
        <w:rPr>
          <w:rFonts w:ascii="Times New Roman" w:cs="Times New Roman" w:eastAsia="Times New Roman" w:hAnsi="Times New Roman"/>
          <w:sz w:val="22"/>
          <w:szCs w:val="22"/>
        </w:rPr>
        <w:t xml:space="preserve"> (Table 1). Both samples were predominantly rural (approximately 83% in 2015 and 81% in 2024). Between survey rounds, all ANC indicators improved significantly (Table 3). Most notably, </w:t>
      </w:r>
      <w:r>
        <w:rPr>
          <w:rFonts w:ascii="Times New Roman" w:cs="Times New Roman" w:eastAsia="Times New Roman" w:hAnsi="Times New Roman"/>
          <w:b/>
          <w:bCs/>
          <w:sz w:val="22"/>
          <w:szCs w:val="22"/>
        </w:rPr>
        <w:t xml:space="preserve">early ANC initiation</w:t>
      </w:r>
      <w:r>
        <w:rPr>
          <w:rFonts w:ascii="Times New Roman" w:cs="Times New Roman" w:eastAsia="Times New Roman" w:hAnsi="Times New Roman"/>
          <w:sz w:val="22"/>
          <w:szCs w:val="22"/>
        </w:rPr>
        <w:t xml:space="preserve"> increased from 26.0% to 57.5%, the largest single improvement observed across all indicators. Mean first ANC visit month advanced from 4.45 to 3.34 months into pregnancy (p &lt; 0.001). Adequate ANC coverage increased from 51.9% to 66.6% (p &lt; 0.001), and skilled birth attendance rose from 92.0% to 97.1% (p &lt; 0.001). Facility delivery also improved from 94.8% to 97.6% (p &lt; 0.001), while the caesarean section rate increased from 7.0% to 11.5% (p &lt; 0.001). PNC receipt declined marginally from 45.1% to 43.2% (p = 0.013), and reporting of being informed about danger signs was stable (25.3% vs 24.8%; p = 0.421).</w:t>
      </w:r>
    </w:p>
    <w:p>
      <w:pPr>
        <w:spacing w:after="0" w:before="120"/>
      </w:pPr>
    </w:p>
    <w:p>
      <w:pPr>
        <w:spacing w:after="40" w:before="120"/>
        <w:jc w:val="center"/>
      </w:pPr>
      <w:r>
        <w:drawing>
          <wp:inline distT="0" distB="0" distL="0" distR="0">
            <wp:extent cx="5857875" cy="2257425"/>
            <wp:effectExtent t="0" r="0" b="0" l="0"/>
            <wp:docPr id="1" name="Fig1" descr="Model selection BIC and silhouette coefficient plo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7875" cy="22574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Figure 1. Model selection for GMM clustering: normalised BIC (left axis, lower is better) and silhouette coefficient (right axis, higher is better) across K = 2–6 for MDHS 2015 (left panel) and MDHS 2024 (right panel). The dashed vertical red line marks the selected optimal K.</w:t>
      </w:r>
    </w:p>
    <w:p>
      <w:pPr>
        <w:spacing w:after="100" w:before="60" w:line="480" w:lineRule="auto"/>
        <w:jc w:val="both"/>
      </w:pPr>
      <w:r>
        <w:rPr>
          <w:rFonts w:ascii="Times New Roman" w:cs="Times New Roman" w:eastAsia="Times New Roman" w:hAnsi="Times New Roman"/>
          <w:sz w:val="22"/>
          <w:szCs w:val="22"/>
        </w:rPr>
        <w:t xml:space="preserve">Statistical fit criteria identified four distinct groups as optimal for 2015 (each comprising at least 7% of women) and three groups for 2024 (each at least 5%). Their profiles are summarised in Table 4, with a visual representation of individual women’s assignments shown in Figure 6.</w:t>
      </w:r>
    </w:p>
    <w:p>
      <w:pPr>
        <w:spacing w:after="100" w:before="60" w:line="480" w:lineRule="auto"/>
        <w:jc w:val="both"/>
      </w:pPr>
      <w:r>
        <w:rPr>
          <w:rFonts w:ascii="Times New Roman" w:cs="Times New Roman" w:eastAsia="Times New Roman" w:hAnsi="Times New Roman"/>
          <w:sz w:val="22"/>
          <w:szCs w:val="22"/>
        </w:rPr>
        <w:t xml:space="preserve">In 2015, four distinct utilisation patterns were identified. The largest group, comprising 60.1% of women (n = 7,828), showed late ANC initiation (mean first visit at 5.0 months into pregnancy), very low early initiation (0%), and adequate ANC in only 42.9% of women, yet near-universal facility delivery and skilled birth attendance. This “late ANC, universal facility delivery” pattern represents the dominant mode of care-seeking in 2015, in which women reliably arrived at health facilities for delivery but engaged insufficiently with the antenatal period. The second cluster (24.2%; n = 3,149) represented a comprehensive pattern, with early ANC initiation in 97.6% of women, mean first visit at 2.9 months, adequate ANC in 78.7%, near-universal facility delivery, and 46.0% receiving PNC. A third, smaller group (7.0%; n = 910) was characterised by universal caesarean section delivery, high facility-based care, and moderate ANC engagement. The fourth cluster (8.8%; n = 1,143) represented the most marginalised pattern: late ANC, adequate ANC in only 33.4% of women, low facility delivery (51.8%), and very low skilled birth attendance (26.5%), identifying a group with limited engagement across the entire continuum of care.</w:t>
      </w:r>
    </w:p>
    <w:p>
      <w:pPr>
        <w:spacing w:after="100" w:before="60" w:line="480" w:lineRule="auto"/>
        <w:jc w:val="both"/>
      </w:pPr>
      <w:r>
        <w:rPr>
          <w:rFonts w:ascii="Times New Roman" w:cs="Times New Roman" w:eastAsia="Times New Roman" w:hAnsi="Times New Roman"/>
          <w:sz w:val="22"/>
          <w:szCs w:val="22"/>
        </w:rPr>
        <w:t xml:space="preserve">By 2024, the cluster structure had simplified to three patterns. The largest group (48.4%; n = 3,349) retained the “late ANC, facility delivery” profile seen in 2015, with late initiation (mean 4.3 months), low early ANC (17.5%), and adequate ANC in only 35.3%, alongside universal facility delivery and skilled birth attendance. The second cluster (46.7%; n = 3,232) represented the high-coverage pattern, with near-universal early ANC initiation (99.2%), a mean first visit at 2.4 months, 100% adequate ANC, universal facility delivery and skilled birth attendance, a 13.6% caesarean section rate, and 45.6% receiving PNC. A third, small group (5.0%; n = 344) showed moderate ANC engagement but substantially lower facility delivery (50.9%) and skilled birth attendance (40.7%).</w:t>
      </w:r>
    </w:p>
    <w:p>
      <w:pPr>
        <w:spacing w:after="0" w:before="120"/>
      </w:pPr>
    </w:p>
    <w:p>
      <w:pPr>
        <w:spacing w:after="40" w:before="120"/>
        <w:jc w:val="center"/>
      </w:pPr>
      <w:r>
        <w:drawing>
          <wp:inline distT="0" distB="0" distL="0" distR="0">
            <wp:extent cx="5857875" cy="3219450"/>
            <wp:effectExtent t="0" r="0" b="0" l="0"/>
            <wp:docPr id="1" name="Fig2a" descr="Cluster profiles of maternal care utilisation indicators, MDHS 2015" title="Figure 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7875" cy="32194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8"/>
          <w:szCs w:val="18"/>
        </w:rPr>
        <w:t xml:space="preserve">Figure 2a. Cluster profiles of maternal care utilisation indicators, MDHS 2015 (K = 4). Bars show mean values per cluster: first ANC visit (months) and ANC visits (mean count) as raw means; all binary indicators as percentages.</w:t>
      </w:r>
    </w:p>
    <w:p>
      <w:pPr>
        <w:spacing w:after="0" w:before="80"/>
      </w:pPr>
    </w:p>
    <w:p>
      <w:pPr>
        <w:spacing w:after="40" w:before="80"/>
        <w:jc w:val="center"/>
      </w:pPr>
      <w:r>
        <w:drawing>
          <wp:inline distT="0" distB="0" distL="0" distR="0">
            <wp:extent cx="5857875" cy="3219450"/>
            <wp:effectExtent t="0" r="0" b="0" l="0"/>
            <wp:docPr id="1" name="Fig2b" descr="Cluster profiles of maternal care utilisation indicators, MDHS 2024" title="Figure 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7875" cy="32194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Figure 2b. Cluster profiles of maternal care utilisation indicators, MDHS 2024 (K = 3). Bars show mean values per cluster: first ANC visit (months) and ANC visits (mean count) as raw means; all binary indicators as percentages.</w:t>
      </w:r>
    </w:p>
    <w:p>
      <w:pPr>
        <w:spacing w:after="100" w:before="60" w:line="480" w:lineRule="auto"/>
        <w:jc w:val="both"/>
      </w:pPr>
      <w:r>
        <w:rPr>
          <w:rFonts w:ascii="Times New Roman" w:cs="Times New Roman" w:eastAsia="Times New Roman" w:hAnsi="Times New Roman"/>
          <w:sz w:val="22"/>
          <w:szCs w:val="22"/>
        </w:rPr>
        <w:t xml:space="preserve">Cross-year alignment using the Hungarian algorithm mapped the 2024 high-coverage cluster to the 2015 comprehensive cluster (centroid distance = 0.77), the 2024 late ANC/facility cluster to its 2015 counterpart (distance = 0.78), and the 2024 moderate ANC/limited delivery cluster to the 2015 caesarean cluster (distance = 1.50). The most striking temporal shift was the near-doubling of the high-coverage cluster, from 24.2% in 2015 to 46.7% in 2024, an absolute gain of 22.5 percent. Correspondingly, the late ANC/facility delivery cluster declined from 60.1% to 48.4%, and the 2015 minimal utilisation cluster, previously affecting nearly one in nine women, had no identifiable analogue in 2024, indicating that this group had been largely incorporated into the formal health system.</w:t>
      </w:r>
    </w:p>
    <w:p>
      <w:pPr>
        <w:pBdr>
          <w:top w:val="dashed" w:color="888888" w:sz="6" w:space="6"/>
          <w:bottom w:val="dashed" w:color="888888" w:sz="6" w:space="6"/>
          <w:left w:val="dashed" w:color="888888" w:sz="6" w:space="6"/>
          <w:right w:val="dashed" w:color="888888" w:sz="6" w:space="6"/>
        </w:pBdr>
        <w:shd w:fill="F5F5F5" w:val="clear"/>
        <w:spacing w:after="160" w:before="160"/>
        <w:jc w:val="center"/>
      </w:pPr>
      <w:r>
        <w:rPr>
          <w:rFonts w:ascii="Times New Roman" w:cs="Times New Roman" w:eastAsia="Times New Roman" w:hAnsi="Times New Roman"/>
          <w:b/>
          <w:bCs/>
          <w:i/>
          <w:iCs/>
          <w:color w:val="555555"/>
          <w:sz w:val="20"/>
          <w:szCs w:val="20"/>
        </w:rPr>
        <w:t xml:space="preserve">INSERT FIGURE 3 ABOUT HERE — Temporal change: cluster prevalences, feature differences, PCA centroids</w:t>
      </w:r>
    </w:p>
    <w:p>
      <w:pPr>
        <w:spacing w:after="100" w:before="60" w:line="480" w:lineRule="auto"/>
        <w:jc w:val="both"/>
      </w:pPr>
      <w:r>
        <w:rPr>
          <w:rFonts w:ascii="Times New Roman" w:cs="Times New Roman" w:eastAsia="Times New Roman" w:hAnsi="Times New Roman"/>
          <w:sz w:val="22"/>
          <w:szCs w:val="22"/>
        </w:rPr>
        <w:t xml:space="preserve">Cluster membership was significantly associated with residence in both survey rounds (Table 5). In 2015, the association was medium-strength (Cramér’s V = 0.123; p &lt; 0.001), with rural women showing markedly higher rates of minimal utilisation (9.7% vs 4.5%). By 2024, the association weakened substantially (V = 0.055; p &lt; 0.001), and the high-coverage cluster prevalence was 51.5% among urban women compared to 45.6% among rural women. Both groups showed large improvements, with rural women’s high-coverage rates increasing from 24.4% to 45.6%. A significant socioeconomic gradient was present in both years, though the effect size narrowed (2015: V = 0.090; 2024: V = 0.059; both p &lt; 0.001). In 2015, minimal utilisation was four times more common among the poorest quintile (11.6%) than the richest (4.6%). By 2024, both extremes showed large improvements: high-coverage care was present in 53.2% of the richest compared to 43.5% of the poorest women, with a gap of 9.7 percent. Age-group associations were significant in both years with stable but small effect sizes (2015: V = 0.046; 2024: V = 0.042). In 2015, adolescent women aged 15–19 showed the lowest rates of comprehensive care (19.7%) and the highest rates of late ANC/facility delivery (66.0%), compared with young adults aged 20–34, among whom comprehensive care stood at 24.6%. In 2024, adolescents showed a large absolute improvement, with 43.3% in the high-coverage cluster, yet a gap of 4.9 percent relative to young adults (48.2%) persisted. Education was significantly associated with cluster membership in both years (2015: V = 0.089; 2024: V = 0.066), with higher-educated women more likely to be in the comprehensive or high-coverage cluster.</w:t>
      </w:r>
    </w:p>
    <w:p>
      <w:pPr>
        <w:pBdr>
          <w:top w:val="dashed" w:color="888888" w:sz="6" w:space="6"/>
          <w:bottom w:val="dashed" w:color="888888" w:sz="6" w:space="6"/>
          <w:left w:val="dashed" w:color="888888" w:sz="6" w:space="6"/>
          <w:right w:val="dashed" w:color="888888" w:sz="6" w:space="6"/>
        </w:pBdr>
        <w:shd w:fill="F5F5F5" w:val="clear"/>
        <w:spacing w:after="160" w:before="160"/>
        <w:jc w:val="center"/>
      </w:pPr>
      <w:r>
        <w:rPr>
          <w:rFonts w:ascii="Times New Roman" w:cs="Times New Roman" w:eastAsia="Times New Roman" w:hAnsi="Times New Roman"/>
          <w:b/>
          <w:bCs/>
          <w:i/>
          <w:iCs/>
          <w:color w:val="555555"/>
          <w:sz w:val="20"/>
          <w:szCs w:val="20"/>
        </w:rPr>
        <w:t xml:space="preserve">INSERT FIGURE 4 ABOUT HERE — Cluster prevalence by residence, wealth quintile and age group</w:t>
      </w:r>
    </w:p>
    <w:p>
      <w:pPr>
        <w:spacing w:after="100" w:before="60" w:line="480" w:lineRule="auto"/>
        <w:jc w:val="both"/>
      </w:pPr>
      <w:r>
        <w:rPr>
          <w:rFonts w:ascii="Times New Roman" w:cs="Times New Roman" w:eastAsia="Times New Roman" w:hAnsi="Times New Roman"/>
          <w:sz w:val="22"/>
          <w:szCs w:val="22"/>
        </w:rPr>
        <w:t xml:space="preserve">The ability to predict group membership from sociodemographic factors alone was modest but improved between survey years (cross-validated overall accuracy: 0.21 in 2015 versus 0.33 in 2024). In 2024, the high-coverage and late ANC/facility groups were most accurately identified (accuracy scores of 0.43 and 0.46 respectively), while the small moderate ANC/limited delivery group was the hardest to distinguish sociodemographically (0.09), suggesting its members are sociodemographically diverse. In both years, parity and age were the strongest predictors of group membership (Table 6). In 2015, household wealth ranked third. By 2024, geographic region and perceived distance to a health facility had replaced wealth among the top five predictors. This shift suggests that as financial barriers to care have been progressively addressed, geographic access and social factors have become the dominant drivers of differences in care-seeking behaviour.</w:t>
      </w:r>
    </w:p>
    <w:p>
      <w:pPr>
        <w:pBdr>
          <w:top w:val="dashed" w:color="888888" w:sz="6" w:space="6"/>
          <w:bottom w:val="dashed" w:color="888888" w:sz="6" w:space="6"/>
          <w:left w:val="dashed" w:color="888888" w:sz="6" w:space="6"/>
          <w:right w:val="dashed" w:color="888888" w:sz="6" w:space="6"/>
        </w:pBdr>
        <w:shd w:fill="F5F5F5" w:val="clear"/>
        <w:spacing w:after="160" w:before="160"/>
        <w:jc w:val="center"/>
      </w:pPr>
      <w:r>
        <w:rPr>
          <w:rFonts w:ascii="Times New Roman" w:cs="Times New Roman" w:eastAsia="Times New Roman" w:hAnsi="Times New Roman"/>
          <w:b/>
          <w:bCs/>
          <w:i/>
          <w:iCs/>
          <w:color w:val="555555"/>
          <w:sz w:val="20"/>
          <w:szCs w:val="20"/>
        </w:rPr>
        <w:t xml:space="preserve">INSERT FIGURE 5 ABOUT HERE — Random Forest variable importance and per-cluster F1</w:t>
      </w:r>
    </w:p>
    <w:p>
      <w:pPr>
        <w:spacing w:after="100" w:before="60" w:line="480" w:lineRule="auto"/>
        <w:jc w:val="both"/>
      </w:pPr>
      <w:r>
        <w:rPr>
          <w:rFonts w:ascii="Times New Roman" w:cs="Times New Roman" w:eastAsia="Times New Roman" w:hAnsi="Times New Roman"/>
          <w:sz w:val="22"/>
          <w:szCs w:val="22"/>
        </w:rPr>
        <w:t xml:space="preserve">Multinomial logistic regression with the late ANC/facility delivery group as reference provided adjusted odds ratios for all sociodemographic predictors simultaneously (Table 7; McFadden R² = 0.023 in 2015 and 0.011 in 2024). In 2015, membership in the C-section group was significantly predicted by older age (OR per year: 1.06; 95% CI 1.04–1.08; p &lt; 0.001), lower parity (0.73; 0.68–0.79; p &lt; 0.001), urban residence (1.24; 1.02–1.50; p = 0.032), and higher wealth quintile (richer: 1.48, 1.17–1.88; richest: 1.81, 1.40–2.34; both p ≤0.001); all sub-higher education categories were associated with substantially reduced odds (OR 0.45–0.59; all p ≤0.004). The minimal utilisation group was characterised by higher parity (1.09; 1.04–1.16; p = 0.001), greater perceived distance barrier to care (1.39; 1.21–1.59; p &lt; 0.001), and lower urban residence odds (0.73; 0.57–0.94; p = 0.013). Women in the comprehensive care group were more likely to be married (1.14; 1.03–1.27; p = 0.010), from the richest wealth quintile (1.28; 1.09–1.50; p = 0.002), and less likely to reside in urban areas (0.82; 0.71–0.94; p = 0.004) or to have less than higher education (OR 0.62–0.69; all p ≤0.022). In 2024, women in the high-coverage group were significantly more likely to be married (1.22; 1.09–1.36; p &lt; 0.001), of lower parity (0.91; 0.86–0.96; p = 0.001), and marginally older (1.02; 1.00–1.03; p = 0.034); all sub-higher education categories were strongly associated with reduced membership odds (OR 0.43–0.50; all p &lt; 0.001). No predictor reached statistical significance for the moderate ANC/limited delivery group in 2024.</w:t>
      </w:r>
    </w:p>
    <w:p>
      <w:pPr>
        <w:spacing w:after="0" w:before="120"/>
      </w:pPr>
    </w:p>
    <w:p>
      <w:pPr>
        <w:spacing w:after="40" w:before="120"/>
        <w:jc w:val="center"/>
      </w:pPr>
      <w:r>
        <w:drawing>
          <wp:inline distT="0" distB="0" distL="0" distR="0">
            <wp:extent cx="5905500" cy="2571750"/>
            <wp:effectExtent t="0" r="0" b="0" l="0"/>
            <wp:docPr id="1" name="Fig6" descr="PCA scatter plot of cluster assignme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717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Figure 6. PCA scatter plot of individual women by cluster membership (MDHS 2015 left, K = 4; MDHS 2024 right, K = 3). Each point represents one woman, coloured by cluster assignment. Stars mark cluster centroids. PC1 explains 25.1% of variance and PC2 explains 15.2% of variance.</w:t>
      </w:r>
    </w:p>
    <w:p>
      <w:pPr>
        <w:pageBreakBefore/>
      </w:pPr>
    </w:p>
    <w:p>
      <w:pPr>
        <w:pStyle w:val="Heading1"/>
        <w:spacing w:after="100" w:before="320"/>
      </w:pPr>
      <w:r>
        <w:rPr>
          <w:rFonts w:ascii="Times New Roman" w:cs="Times New Roman" w:eastAsia="Times New Roman" w:hAnsi="Times New Roman"/>
          <w:b/>
          <w:bCs/>
          <w:color w:val="1F3864"/>
          <w:sz w:val="28"/>
          <w:szCs w:val="28"/>
        </w:rPr>
        <w:t xml:space="preserve">Discussion</w:t>
      </w:r>
    </w:p>
    <w:p>
      <w:pPr>
        <w:spacing w:after="100" w:before="60" w:line="480" w:lineRule="auto"/>
        <w:jc w:val="both"/>
      </w:pPr>
      <w:r>
        <w:rPr>
          <w:rFonts w:ascii="Times New Roman" w:cs="Times New Roman" w:eastAsia="Times New Roman" w:hAnsi="Times New Roman"/>
          <w:sz w:val="22"/>
          <w:szCs w:val="22"/>
        </w:rPr>
        <w:t xml:space="preserve">This comparative unsupervised learning analysis of two nationally representative Malawian DHS surveys documents substantial progress in maternal health care utilisation between 2015 and 2024, while identifying persistent gaps requiring targeted policy attention. Five principal findings merit discussion.</w:t>
      </w:r>
    </w:p>
    <w:p>
      <w:pPr>
        <w:spacing w:after="100" w:before="60" w:line="480" w:lineRule="auto"/>
        <w:jc w:val="both"/>
      </w:pPr>
      <w:r>
        <w:rPr>
          <w:rFonts w:ascii="Times New Roman" w:cs="Times New Roman" w:eastAsia="Times New Roman" w:hAnsi="Times New Roman"/>
          <w:sz w:val="22"/>
          <w:szCs w:val="22"/>
        </w:rPr>
        <w:t xml:space="preserve">The structure of utilisation heterogeneity simplified markedly over the decade. A four-cluster solution best described the 2015 landscape; by 2024, a three-cluster solution sufficed. This consolidation reflects a shift of women who previously followed a minimal utilisation pattern into the broader formal health system, at least for intrapartum care, and a proportional increase in comprehensive care engagement. The most dramatic change was the near-doubling of the comprehensive care cluster, driven primarily by a 31.5 percent increase in early ANC initiation, the single largest change across all indicators. The effective dissolution of the minimal utilisation cluster is a meaningful programmatic achievement, consistent with documented improvements in facility delivery following Malawi’s free maternity services policy and health system strengthening investments [8,17]. In 2015, approximately one in nine women engaged minimally across the entire continuum; by 2024, no such identifiable group remained.</w:t>
      </w:r>
    </w:p>
    <w:p>
      <w:pPr>
        <w:spacing w:after="100" w:before="60" w:line="480" w:lineRule="auto"/>
        <w:jc w:val="both"/>
      </w:pPr>
      <w:r>
        <w:rPr>
          <w:rFonts w:ascii="Times New Roman" w:cs="Times New Roman" w:eastAsia="Times New Roman" w:hAnsi="Times New Roman"/>
          <w:sz w:val="22"/>
          <w:szCs w:val="22"/>
        </w:rPr>
        <w:t xml:space="preserve">Nonetheless, the dominant pattern across both survey rounds remained “late ANC with universal facility delivery”, affecting 60.1% of women in 2015 and still 48.4% in 2024. This profile, in which women reliably access skilled intrapartum care but engage late and insufficiently with ANC, is not unique to Malawi. Benova et al. [16] described an analogous pattern across multiple sub-Saharan settings, attributing it to the stronger perceived urgency of delivery care relative to the “wellness-oriented” framing of ANC. The persistence of this pattern despite decade-long investment in ANC promotion suggests that supply-side strategies alone are insufficient and that demand-side interventions targeting normative beliefs about ANC timing are needed.</w:t>
      </w:r>
    </w:p>
    <w:p>
      <w:pPr>
        <w:spacing w:after="100" w:before="60" w:line="480" w:lineRule="auto"/>
        <w:jc w:val="both"/>
      </w:pPr>
      <w:r>
        <w:rPr>
          <w:rFonts w:ascii="Times New Roman" w:cs="Times New Roman" w:eastAsia="Times New Roman" w:hAnsi="Times New Roman"/>
          <w:sz w:val="22"/>
          <w:szCs w:val="22"/>
        </w:rPr>
        <w:t xml:space="preserve">The narrowing of sociodemographic gradients across all four subgroups, residence, wealth quintile, age, and education, is encouraging evidence that programmatic gains have been broadly distributed. The decline in Cramér’s V for residence from 0.123 to 0.055 and for wealth from 0.090 to 0.059 indicates that comprehensive care is becoming less concentrated among privileged groups. That said, a 9.7 percent gap between the richest and poorest women in the high-coverage cluster in 2024 represents a remaining equity concern. The persistent disadvantage of adolescent women is similarly notable. Adolescents aged 15–19 showed the lowest high-coverage rates in both years and, while they improved substantially from 19.7% to 43.3%, the gap with young adults was essentially unchanged across survey rounds, suggesting that universal programmatic improvements benefited all groups proportionally rather than closing the adolescent-specific gap. This aligns with a robust literature documenting barriers specific to young women in Malawi, including fear of stigma at health facilities, lack of partner support, and limited availability of youth-friendly services [18,19].</w:t>
      </w:r>
    </w:p>
    <w:p>
      <w:pPr>
        <w:spacing w:after="100" w:before="60" w:line="480" w:lineRule="auto"/>
        <w:jc w:val="both"/>
      </w:pPr>
      <w:r>
        <w:rPr>
          <w:rFonts w:ascii="Times New Roman" w:cs="Times New Roman" w:eastAsia="Times New Roman" w:hAnsi="Times New Roman"/>
          <w:sz w:val="22"/>
          <w:szCs w:val="22"/>
        </w:rPr>
        <w:t xml:space="preserve">The shift in variable importance from wealth to age, parity, and perceived distance to facility is theoretically coherent with a maturing health system. As economic barriers are progressively mitigated through free care policies, geographic access and social factors emerge as the residual constraints on utilisation heterogeneity. This has direct programmatic implications: future interventions should prioritise geographic access for remote rural women and demand-side approaches, including peer support networks and reproductive autonomy programmes, for younger and higher-parity women. The finding that optimal ANC coverage of eight or more visits (per updated WHO 2016 guidelines) increased from only 1.4% to 2.9% highlights a further area in which quantity of ANC contact has improved while depth of engagement has not.</w:t>
      </w:r>
    </w:p>
    <w:p>
      <w:pPr>
        <w:spacing w:after="100" w:before="60" w:line="480" w:lineRule="auto"/>
        <w:jc w:val="both"/>
      </w:pPr>
      <w:r>
        <w:rPr>
          <w:rFonts w:ascii="Times New Roman" w:cs="Times New Roman" w:eastAsia="Times New Roman" w:hAnsi="Times New Roman"/>
          <w:sz w:val="22"/>
          <w:szCs w:val="22"/>
        </w:rPr>
        <w:t xml:space="preserve">This analysis has several strengths. It is among the first comparative unsupervised learning analyses spanning two Malawi DHS waves, enabling direct temporal assessment of utilisation pattern evolution. The use of harmonised clustering features across both rounds, principled composite model selection criteria, and validation through subgroup and predictor analyses adds methodological rigour, and the large nationally representative samples support generalisability to the full population of Malawian women of reproductive age.</w:t>
      </w:r>
    </w:p>
    <w:p>
      <w:pPr>
        <w:spacing w:after="100" w:before="60" w:line="480" w:lineRule="auto"/>
        <w:jc w:val="both"/>
      </w:pPr>
      <w:r>
        <w:rPr>
          <w:rFonts w:ascii="Times New Roman" w:cs="Times New Roman" w:eastAsia="Times New Roman" w:hAnsi="Times New Roman"/>
          <w:sz w:val="22"/>
          <w:szCs w:val="22"/>
        </w:rPr>
        <w:t xml:space="preserve">Several limitations deserve acknowledgement. The complete-case exclusion rate in 2024 (34.3% of eligible women) was high, driven primarily by structural non-response among women who did not attend ANC. While analytically appropriate, this may mean that the 2024 analysis sample over-represents women who engaged with the health system, and results may not fully generalise to non-attenders. The differing optimal cluster solutions across years (K = 4 in 2015 and K = 3 in 2024) required cross-year alignment rather than direct comparison, and the least similar matched pair of groups (dissimilarity score = 1.50) should be interpreted with caution. The cross-sectional design precludes causal inference, and the nine-year interval captures cumulative policy effects without attributing change to specific programmes. The grouping method assumes that care utilisation patterns follow an approximately normal distribution within each group, which may not hold for all indicators. A sensitivity analysis using a density-based grouping approach would strengthen confidence in the robustness of results. Finally, the 2024 compressed DHS file used non-standard variable coding for residence, wealth, and place of delivery, requiring careful harmonisation.</w:t>
      </w:r>
    </w:p>
    <w:p>
      <w:pPr>
        <w:spacing w:after="100" w:before="60" w:line="480" w:lineRule="auto"/>
        <w:jc w:val="both"/>
      </w:pPr>
      <w:r>
        <w:rPr>
          <w:rFonts w:ascii="Times New Roman" w:cs="Times New Roman" w:eastAsia="Times New Roman" w:hAnsi="Times New Roman"/>
          <w:sz w:val="22"/>
          <w:szCs w:val="22"/>
        </w:rPr>
        <w:t xml:space="preserve">In conclusion, Malawi’s maternal health system achieved substantial and measurable progress in shifting women toward comprehensive engagement across the continuum of care between 2015 and 2024. The doubling of the high-coverage cluster, the effective elimination of the minimal utilisation cluster, and the narrowing of sociodemographic gradients testify to a decade of meaningful policy investment. At the same time, nearly half of women still initiate ANC late, adolescent women continue to be underrepresented in comprehensive care, and PNC receipt has not improved alongside other indicators. Closing these remaining gaps, through adolescent-targeted services, geographic access improvements, and postnatal care quality strengthening, will be essential for Malawi to achieve its SDG 3.1 maternal mortality targets.</w:t>
      </w:r>
    </w:p>
    <w:p>
      <w:pPr>
        <w:pageBreakBefore/>
      </w:pPr>
    </w:p>
    <w:p>
      <w:pPr>
        <w:pStyle w:val="Heading1"/>
        <w:spacing w:after="100" w:before="320"/>
      </w:pPr>
      <w:r>
        <w:rPr>
          <w:rFonts w:ascii="Times New Roman" w:cs="Times New Roman" w:eastAsia="Times New Roman" w:hAnsi="Times New Roman"/>
          <w:b/>
          <w:bCs/>
          <w:color w:val="1F3864"/>
          <w:sz w:val="28"/>
          <w:szCs w:val="28"/>
        </w:rPr>
        <w:t xml:space="preserve">Tables</w:t>
      </w:r>
    </w:p>
    <w:p>
      <w:pPr>
        <w:spacing w:after="60" w:before="240"/>
      </w:pPr>
      <w:r>
        <w:rPr>
          <w:rFonts w:ascii="Times New Roman" w:cs="Times New Roman" w:eastAsia="Times New Roman" w:hAnsi="Times New Roman"/>
          <w:b/>
          <w:bCs/>
          <w:sz w:val="22"/>
          <w:szCs w:val="22"/>
        </w:rPr>
        <w:t xml:space="preserve">Table 1. Sociodemographic Characteristics of the 2015 and 2024 Analytic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40"/>
        <w:gridCol w:w="2040"/>
        <w:gridCol w:w="216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Characteristic</w:t>
            </w:r>
          </w:p>
        </w:tc>
        <w:tc>
          <w:tcPr>
            <w:tcW w:type="dxa" w:w="20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MDHS 2015
(n = 13,030)</w:t>
            </w:r>
          </w:p>
        </w:tc>
        <w:tc>
          <w:tcPr>
            <w:tcW w:type="dxa" w:w="204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MDHS 2024
(n = 6,925)</w:t>
            </w:r>
          </w:p>
        </w:tc>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p-value</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Age, years (mean ± SD)</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28.1 ± 7.0</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26.9 ± 6.9</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12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Age group, n (%)</w:t>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Adolescent (15–19)</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1,109 (8.5%)</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928 (13.4%)</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Young adult (20–34)</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9,343 (71.7%)</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4,861 (70.2%)</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Older (35–49)</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2,578 (19.8%)</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1,136 (16.4%)</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Residence, n (%)</w:t>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0.013</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Urban</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2,257 (17.3%)</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1,298 (18.7%)</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Rural</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10,773 (82.7%)</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5,627 (81.3%)</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Wealth quintile, n (%)</w:t>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Poorest</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2,767 (21.2%)</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1,527 (22.1%)</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Poorer</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2,715 (20.8%)</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1,208 (17.4%)</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Middle</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2,511 (19.3%)</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1,196 (17.3%)</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Richer</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2,510 (19.3%)</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1,289 (18.6%)</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Richest</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2,527 (19.4%)</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1,448 (20.9%)</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Education level, n (%)</w:t>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No education</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1,516 (11.6%)</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427 (6.2%)</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Primary</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8,484 (65.1%)</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4,522 (65.3%)</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Secondary</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2,786 (21.4%)</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1,786 (25.8%)</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Higher</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244 (1.9%)</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190 (2.7%)</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Parity (mean ± SD)</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 ± 2.1</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 ± 1.8</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Married, n (%)</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10,022 (76.9%)</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4,820 (69.6%)</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Distance barrier to care, n (%)</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6,963 (53.4%)</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3,417 (49.3%)</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12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Region, n (%)</w:t>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04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c>
          <w:tcPr>
            <w:tcW w:type="dxa" w:w="2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0.058</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Northern</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2,490 (19.1%)</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1,418 (20.5%)</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Central</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4,514 (34.6%)</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2,332 (33.7%)</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Southern</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6,026 (46.2%)</w:t>
            </w:r>
          </w:p>
        </w:tc>
        <w:tc>
          <w:tcPr>
            <w:tcW w:type="dxa" w:w="204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3,175 (45.8%)</w:t>
            </w:r>
          </w:p>
        </w:tc>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
            </w:r>
          </w:p>
        </w:tc>
      </w:tr>
    </w:tbl>
    <w:p>
      <w:pPr>
        <w:spacing w:after="80" w:before="40"/>
      </w:pPr>
      <w:r>
        <w:rPr>
          <w:rFonts w:ascii="Times New Roman" w:cs="Times New Roman" w:eastAsia="Times New Roman" w:hAnsi="Times New Roman"/>
          <w:i/>
          <w:iCs/>
          <w:sz w:val="18"/>
          <w:szCs w:val="18"/>
        </w:rPr>
        <w:t xml:space="preserve">p-values: Welch’s t-test (continuous), chi-square test (categorical). p-value shown on the category header row for multi-level variables.</w:t>
      </w:r>
    </w:p>
    <w:p>
      <w:pPr>
        <w:spacing w:after="0" w:before="280"/>
      </w:pPr>
    </w:p>
    <w:p>
      <w:pPr>
        <w:spacing w:after="60" w:before="240"/>
      </w:pPr>
      <w:r>
        <w:rPr>
          <w:rFonts w:ascii="Times New Roman" w:cs="Times New Roman" w:eastAsia="Times New Roman" w:hAnsi="Times New Roman"/>
          <w:b/>
          <w:bCs/>
          <w:sz w:val="22"/>
          <w:szCs w:val="22"/>
        </w:rPr>
        <w:t xml:space="preserve">Table 2a. Sociodemographic Characteristics by Cluster: MDHS 2015 (K =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160"/>
        <w:gridCol w:w="1160"/>
        <w:gridCol w:w="1160"/>
        <w:gridCol w:w="1160"/>
        <w:gridCol w:w="1160"/>
      </w:tblGrid>
      <w:tr>
        <w:tc>
          <w:tcPr>
            <w:tcW w:type="dxa" w:w="2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Characteristic</w:t>
            </w:r>
          </w:p>
        </w:tc>
        <w:tc>
          <w:tcPr>
            <w:tcW w:type="dxa" w:w="1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Overall</w:t>
            </w:r>
          </w:p>
        </w:tc>
        <w:tc>
          <w:tcPr>
            <w:tcW w:type="dxa" w:w="1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C-A
Comprehensive
ANC+delivery</w:t>
            </w:r>
          </w:p>
        </w:tc>
        <w:tc>
          <w:tcPr>
            <w:tcW w:type="dxa" w:w="1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C-B
Late ANC,
facility delivery</w:t>
            </w:r>
          </w:p>
        </w:tc>
        <w:tc>
          <w:tcPr>
            <w:tcW w:type="dxa" w:w="1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C-C
C-section/
high PNC</w:t>
            </w:r>
          </w:p>
        </w:tc>
        <w:tc>
          <w:tcPr>
            <w:tcW w:type="dxa" w:w="1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C-D
Minimal
utilisation</w:t>
            </w:r>
          </w:p>
        </w:tc>
      </w:tr>
      <w:tr>
        <w:tc>
          <w:tcPr>
            <w:tcW w:type="dxa" w:w="256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n (%)</w:t>
            </w:r>
          </w:p>
        </w:tc>
        <w:tc>
          <w:tcPr>
            <w:tcW w:type="dxa" w:w="116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13,030</w:t>
            </w:r>
          </w:p>
        </w:tc>
        <w:tc>
          <w:tcPr>
            <w:tcW w:type="dxa" w:w="116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3,149 (24.2%)</w:t>
            </w:r>
          </w:p>
        </w:tc>
        <w:tc>
          <w:tcPr>
            <w:tcW w:type="dxa" w:w="116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7,828 (60.1%)</w:t>
            </w:r>
          </w:p>
        </w:tc>
        <w:tc>
          <w:tcPr>
            <w:tcW w:type="dxa" w:w="116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910 (7.0%)</w:t>
            </w:r>
          </w:p>
        </w:tc>
        <w:tc>
          <w:tcPr>
            <w:tcW w:type="dxa" w:w="116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1,143 (8.8%)</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Age, years (mean ± SD)</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28.1 ± 7.0</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28.3 ± 6.8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27.9 ± 7.0</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27.4 ± 6.7</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28.9 ± 7.4</w:t>
            </w:r>
          </w:p>
        </w:tc>
      </w:tr>
      <w:tr>
        <w:tc>
          <w:tcPr>
            <w:tcW w:type="dxa" w:w="25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Age group</w:t>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Adolescent (15–19),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1,109 (8.5%)</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219 (7.0%)</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732 (9.4%)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89 (9.8%)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69 (6.0%)</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Young adult (20–34),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9,343 (71.7%)</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2,302 (73.1%)</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5,580 (71.3%)</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678 (74.5%)</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783 (68.5%)</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Older (35–49),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2,578 (19.8%)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628 (19.9%)</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1,516 (19.4%)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143 (15.7%)</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291 (25.5%)</w:t>
            </w:r>
          </w:p>
        </w:tc>
      </w:tr>
      <w:tr>
        <w:tc>
          <w:tcPr>
            <w:tcW w:type="dxa" w:w="25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Residence</w:t>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Urban,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2,257 (17.3%)</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522 (16.6%)</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1,340 (17.1%)</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293 (32.2%)</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102 (8.9%)</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Rural,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10,773 (82.7%)</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2,627 (83.4%)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6,488 (82.9%)</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617 (67.8%)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1,041 (91.1%)</w:t>
            </w:r>
          </w:p>
        </w:tc>
      </w:tr>
      <w:tr>
        <w:tc>
          <w:tcPr>
            <w:tcW w:type="dxa" w:w="25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Wealth quintile</w:t>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Poorest,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2,767 (21.2%)</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627 (19.9%)</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1,705 (21.8%)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113 (12.4%)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322 (28.2%)</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Poorer,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2,715 (20.8%)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673 (21.4%)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1,645 (21.0%)</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127 (14.0%)</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270 (23.6%)</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Middle,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2,511 (19.3%)</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599 (19.0%)</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1,546 (19.7%)</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127 (14.0%)</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239 (20.9%)</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Richer,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2,510 (19.3%)</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597 (19.0%)</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1,511 (19.3%)</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207 (22.7%)</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195 (17.1%)</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Richest,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2,527 (19.4%)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653 (20.7%)</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1,421 (18.2%)</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336 (36.9%)</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117 (10.2%)</w:t>
            </w:r>
          </w:p>
        </w:tc>
      </w:tr>
      <w:tr>
        <w:tc>
          <w:tcPr>
            <w:tcW w:type="dxa" w:w="25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Education level</w:t>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1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No education,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1,516 (11.6%)</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344 (10.9%)</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924 (11.8%)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54 (5.9%)</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194 (17.0%)</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Primary,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8,484 (65.1%)</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2,080 (66.1%)</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5,114 (65.3%)</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488 (53.6%)</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802 (70.2%)</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Secondary,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2,786 (21.4%)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650 (20.6%)</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1,682 (21.5%)</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312 (34.3%)</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142 (12.4%)</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Higher,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244 (1.9%)</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75 (2.4%)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108 (1.4%)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56 (6.2%)</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 (0.4%)</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Parity (mean ± SD)</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 ± 2.1</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 ± 2.1</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 ± 2.1</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 ± 1.8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3.8 ± 2.2</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Currently married,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10,022 (76.9%)</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2,498 (79.3%)</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6,000 (76.6%)</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672 (73.8%)</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852 (74.5%)</w:t>
            </w:r>
          </w:p>
        </w:tc>
      </w:tr>
      <w:tr>
        <w:tc>
          <w:tcPr>
            <w:tcW w:type="dxa" w:w="2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Distance to facility a problem, n (%)</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6,963 (53.4%)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1,649 (52.4%)</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4,164 (53.2%)</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407 (44.7%)</w:t>
            </w:r>
          </w:p>
        </w:tc>
        <w:tc>
          <w:tcPr>
            <w:tcW w:type="dxa" w:w="1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743 (65.0%)</w:t>
            </w:r>
          </w:p>
        </w:tc>
      </w:tr>
    </w:tbl>
    <w:p>
      <w:pPr>
        <w:spacing w:after="80" w:before="40"/>
      </w:pPr>
      <w:r>
        <w:rPr>
          <w:rFonts w:ascii="Times New Roman" w:cs="Times New Roman" w:eastAsia="Times New Roman" w:hAnsi="Times New Roman"/>
          <w:i/>
          <w:iCs/>
          <w:sz w:val="18"/>
          <w:szCs w:val="18"/>
        </w:rPr>
        <w:t xml:space="preserve">C-A: Comprehensive ANC + delivery (n = 3,149; 24.2%); C-B: Late ANC, facility delivery (n = 7,828; 60.1%); C-C: C-section/high PNC (n = 910; 7.0%); C-D: Minimal utilisation (n = 1,143; 8.8%). Values are n (%) unless otherwise stated.</w:t>
      </w:r>
    </w:p>
    <w:p>
      <w:pPr>
        <w:spacing w:after="0" w:before="280"/>
      </w:pPr>
    </w:p>
    <w:p>
      <w:pPr>
        <w:spacing w:after="60" w:before="240"/>
      </w:pPr>
      <w:r>
        <w:rPr>
          <w:rFonts w:ascii="Times New Roman" w:cs="Times New Roman" w:eastAsia="Times New Roman" w:hAnsi="Times New Roman"/>
          <w:b/>
          <w:bCs/>
          <w:sz w:val="22"/>
          <w:szCs w:val="22"/>
        </w:rPr>
        <w:t xml:space="preserve">Table 2b. Sociodemographic Characteristics by Cluster: MDHS 2024 (K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W w:type="dxa" w:w="2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Characteristic</w:t>
            </w:r>
          </w:p>
        </w:tc>
        <w:tc>
          <w:tcPr>
            <w:tcW w:type="dxa" w:w="165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Overall</w:t>
            </w:r>
          </w:p>
        </w:tc>
        <w:tc>
          <w:tcPr>
            <w:tcW w:type="dxa" w:w="165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C-1
High
coverage</w:t>
            </w:r>
          </w:p>
        </w:tc>
        <w:tc>
          <w:tcPr>
            <w:tcW w:type="dxa" w:w="165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C-2
Late ANC,
facility delivery</w:t>
            </w:r>
          </w:p>
        </w:tc>
        <w:tc>
          <w:tcPr>
            <w:tcW w:type="dxa" w:w="165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C-3
Moderate ANC,
limited delivery</w:t>
            </w:r>
          </w:p>
        </w:tc>
      </w:tr>
      <w:tr>
        <w:tc>
          <w:tcPr>
            <w:tcW w:type="dxa" w:w="276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n (%)</w:t>
            </w:r>
          </w:p>
        </w:tc>
        <w:tc>
          <w:tcPr>
            <w:tcW w:type="dxa" w:w="165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6,925</w:t>
            </w:r>
          </w:p>
        </w:tc>
        <w:tc>
          <w:tcPr>
            <w:tcW w:type="dxa" w:w="165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3,232 (46.7%)</w:t>
            </w:r>
          </w:p>
        </w:tc>
        <w:tc>
          <w:tcPr>
            <w:tcW w:type="dxa" w:w="165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3,349 (48.4%)</w:t>
            </w:r>
          </w:p>
        </w:tc>
        <w:tc>
          <w:tcPr>
            <w:tcW w:type="dxa" w:w="1650"/>
            <w:tcBorders>
              <w:top w:val="single" w:color="AAAAAA" w:sz="4"/>
              <w:left w:val="single" w:color="AAAAAA" w:sz="4"/>
              <w:bottom w:val="single" w:color="AAAAAA" w:sz="4"/>
              <w:right w:val="single" w:color="AAAAAA" w:sz="4"/>
            </w:tcBorders>
            <w:shd w:fill="E8F0F8"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344 (5.0%)</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Age, years (mean ± SD)</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26.9 ± 6.9</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26.7 ± 6.7</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26.9 ± 7.1</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27.9 ± 7.1</w:t>
            </w:r>
          </w:p>
        </w:tc>
      </w:tr>
      <w:tr>
        <w:tc>
          <w:tcPr>
            <w:tcW w:type="dxa" w:w="27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Age group</w:t>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Adolescent (15–19),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928 (13.4%)</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402 (12.4%)</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494 (14.8%)</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32 (9.3%)</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Young adult (20–34),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4,861 (70.2%)</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2,341 (72.4%)</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2,280 (68.1%)</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240 (69.8%)</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Older (35–49),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1,136 (16.4%)</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489 (15.1%)</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575 (17.2%)</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72 (20.9%)</w:t>
            </w:r>
          </w:p>
        </w:tc>
      </w:tr>
      <w:tr>
        <w:tc>
          <w:tcPr>
            <w:tcW w:type="dxa" w:w="27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Residence</w:t>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Urban,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1,298 (18.7%)</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668 (20.7%)</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588 (17.6%)</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42 (12.2%)</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Rural,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5,627 (81.3%)</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2,564 (79.3%)</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2,761 (82.4%)</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302 (87.8%)</w:t>
            </w:r>
          </w:p>
        </w:tc>
      </w:tr>
      <w:tr>
        <w:tc>
          <w:tcPr>
            <w:tcW w:type="dxa" w:w="27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Wealth quintile</w:t>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Poorest,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1,527 (22.1%)</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665 (20.6%)</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767 (22.9%)</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95 (27.6%)</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Poorer,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1,208 (17.4%)</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533 (16.5%)</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598 (17.9%)</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77 (22.4%)</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Middle,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1,196 (17.3%)</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548 (17.0%)</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594 (17.7%)</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54 (15.7%)</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Richer,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1,289 (18.6%)</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578 (17.9%)</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652 (19.5%)</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59 (17.2%)</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Richest,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1,448 (20.9%)</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770 (23.8%)</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627 (18.7%)</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51 (14.8%)</w:t>
            </w:r>
          </w:p>
        </w:tc>
      </w:tr>
      <w:tr>
        <w:tc>
          <w:tcPr>
            <w:tcW w:type="dxa" w:w="276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Education level</w:t>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c>
          <w:tcPr>
            <w:tcW w:type="dxa" w:w="1650"/>
            <w:tcBorders>
              <w:top w:val="single" w:color="AAAAAA" w:sz="4"/>
              <w:left w:val="single" w:color="AAAAAA" w:sz="4"/>
              <w:bottom w:val="single" w:color="AAAAAA" w:sz="4"/>
              <w:right w:val="single" w:color="AAAAAA" w:sz="4"/>
            </w:tcBorders>
            <w:shd w:fill="E0EAF6"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No education,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427 (6.2%)</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171 (5.3%)</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224 (6.7%)</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32 (9.3%)</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Primary,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4,522 (65.3%)</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2,049 (63.4%)</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2,243 (67.0%)</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230 (66.9%)</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Secondary,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1,786 (25.8%)</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880 (27.2%)</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829 (24.8%)</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77 (22.4%)</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  Higher,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190 (2.7%)</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132 (4.1%)</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53 (1.6%)</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 (1.5%)</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Parity (mean ± SD)</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 ± 1.8</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 ± 1.8</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 ± 1.9</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3.1 ± 2.0</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Currently married,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4,820 (69.6%)</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2,308 (71.4%)</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2,263 (67.6%)</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249 (72.4%)</w:t>
            </w:r>
          </w:p>
        </w:tc>
      </w:tr>
      <w:tr>
        <w:tc>
          <w:tcPr>
            <w:tcW w:type="dxa" w:w="27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Distance to facility a problem, n (%)</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3,417 (49.3%)</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1,663 (51.5%)</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1,610 (48.1%)</w:t>
            </w:r>
          </w:p>
        </w:tc>
        <w:tc>
          <w:tcPr>
            <w:tcW w:type="dxa" w:w="16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144 (41.9%)</w:t>
            </w:r>
          </w:p>
        </w:tc>
      </w:tr>
    </w:tbl>
    <w:p>
      <w:pPr>
        <w:spacing w:after="80" w:before="40"/>
      </w:pPr>
      <w:r>
        <w:rPr>
          <w:rFonts w:ascii="Times New Roman" w:cs="Times New Roman" w:eastAsia="Times New Roman" w:hAnsi="Times New Roman"/>
          <w:i/>
          <w:iCs/>
          <w:sz w:val="18"/>
          <w:szCs w:val="18"/>
        </w:rPr>
        <w:t xml:space="preserve">C-1: High coverage (n = 3,232; 46.7%); C-2: Late ANC, facility delivery (n = 3,349; 48.4%); C-3: Moderate ANC, limited delivery (n = 344; 5.0%). Values are n (%) unless otherwise stated.</w:t>
      </w:r>
    </w:p>
    <w:p>
      <w:pPr>
        <w:spacing w:after="0" w:before="240"/>
      </w:pPr>
    </w:p>
    <w:p>
      <w:pPr>
        <w:spacing w:after="60" w:before="240"/>
      </w:pPr>
      <w:r>
        <w:rPr>
          <w:rFonts w:ascii="Times New Roman" w:cs="Times New Roman" w:eastAsia="Times New Roman" w:hAnsi="Times New Roman"/>
          <w:b/>
          <w:bCs/>
          <w:sz w:val="22"/>
          <w:szCs w:val="22"/>
        </w:rPr>
        <w:t xml:space="preserve">Table 3. Maternal Care Utilisation Indicators: MDHS 2015 vs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Indicator</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MDHS 2015</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MDHS 2024</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Change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p-value</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First ANC visit, month (mean ± SD)</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4.45 ± 1.31</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3.34 ± 1.34</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 months</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ANC visits (mean ± SD)</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3.77 ± 1.62</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4.22 ± 1.52</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+0.45 visits</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Skilled ANC provider (%)</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96.6%</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98.4%</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+1.8%</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shd w:fill="FFF3CD"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Early ANC initiation ≤3 months (%)</w:t>
            </w:r>
          </w:p>
        </w:tc>
        <w:tc>
          <w:tcPr>
            <w:tcW w:type="dxa" w:w="1500"/>
            <w:tcBorders>
              <w:top w:val="single" w:color="AAAAAA" w:sz="4"/>
              <w:left w:val="single" w:color="AAAAAA" w:sz="4"/>
              <w:bottom w:val="single" w:color="AAAAAA" w:sz="4"/>
              <w:right w:val="single" w:color="AAAAAA" w:sz="4"/>
            </w:tcBorders>
            <w:shd w:fill="FFF3CD"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26.0%</w:t>
            </w:r>
          </w:p>
        </w:tc>
        <w:tc>
          <w:tcPr>
            <w:tcW w:type="dxa" w:w="1500"/>
            <w:tcBorders>
              <w:top w:val="single" w:color="AAAAAA" w:sz="4"/>
              <w:left w:val="single" w:color="AAAAAA" w:sz="4"/>
              <w:bottom w:val="single" w:color="AAAAAA" w:sz="4"/>
              <w:right w:val="single" w:color="AAAAAA" w:sz="4"/>
            </w:tcBorders>
            <w:shd w:fill="FFF3CD"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57.5%</w:t>
            </w:r>
          </w:p>
        </w:tc>
        <w:tc>
          <w:tcPr>
            <w:tcW w:type="dxa" w:w="1500"/>
            <w:tcBorders>
              <w:top w:val="single" w:color="AAAAAA" w:sz="4"/>
              <w:left w:val="single" w:color="AAAAAA" w:sz="4"/>
              <w:bottom w:val="single" w:color="AAAAAA" w:sz="4"/>
              <w:right w:val="single" w:color="AAAAAA" w:sz="4"/>
            </w:tcBorders>
            <w:shd w:fill="FFF3C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+31.5%</w:t>
            </w:r>
          </w:p>
        </w:tc>
        <w:tc>
          <w:tcPr>
            <w:tcW w:type="dxa" w:w="1500"/>
            <w:tcBorders>
              <w:top w:val="single" w:color="AAAAAA" w:sz="4"/>
              <w:left w:val="single" w:color="AAAAAA" w:sz="4"/>
              <w:bottom w:val="single" w:color="AAAAAA" w:sz="4"/>
              <w:right w:val="single" w:color="AAAAAA" w:sz="4"/>
            </w:tcBorders>
            <w:shd w:fill="FFF3CD"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Adequate ANC ≥4 visits (%)</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51.9%</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66.6%</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+14.7%</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Optimal ANC ≥8 visits (%)</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2.9%</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Facility delivery (%)</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94.8%</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97.6%</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+2.7%</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Skilled birth attendant (%)</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92.0%</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97.1%</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+5.0%</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Caesarean section (%)</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7.0%</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11.5%</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+4.5%</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PNC received (%)</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45.1%</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43.2%</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−1.9%</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0.013</w:t>
            </w:r>
          </w:p>
        </w:tc>
      </w:tr>
      <w:tr>
        <w:tc>
          <w:tcPr>
            <w:tcW w:type="dxa" w:w="33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Informed about danger signs (%)</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25.3%</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24.8%</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w:t>
            </w:r>
          </w:p>
        </w:tc>
        <w:tc>
          <w:tcPr>
            <w:tcW w:type="dxa" w:w="1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0.421</w:t>
            </w:r>
          </w:p>
        </w:tc>
      </w:tr>
    </w:tbl>
    <w:p>
      <w:pPr>
        <w:spacing w:after="80" w:before="40"/>
      </w:pPr>
      <w:r>
        <w:rPr>
          <w:rFonts w:ascii="Times New Roman" w:cs="Times New Roman" w:eastAsia="Times New Roman" w:hAnsi="Times New Roman"/>
          <w:i/>
          <w:iCs/>
          <w:sz w:val="18"/>
          <w:szCs w:val="18"/>
        </w:rPr>
        <w:t xml:space="preserve">p-values: chi-square test (binary) or Welch’s t-test (continuous). Highlighted row = largest change.</w:t>
      </w:r>
    </w:p>
    <w:p>
      <w:pPr>
        <w:pageBreakBefore/>
      </w:pPr>
    </w:p>
    <w:p>
      <w:pPr>
        <w:spacing w:after="60" w:before="240"/>
      </w:pPr>
      <w:r>
        <w:rPr>
          <w:rFonts w:ascii="Times New Roman" w:cs="Times New Roman" w:eastAsia="Times New Roman" w:hAnsi="Times New Roman"/>
          <w:b/>
          <w:bCs/>
          <w:sz w:val="22"/>
          <w:szCs w:val="22"/>
        </w:rPr>
        <w:t xml:space="preserve">Table 4. Cluster Profiles: MDHS 2015 (K = 4) and MDHS 2024 (K =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29"/>
        <w:gridCol w:w="1029"/>
        <w:gridCol w:w="1029"/>
        <w:gridCol w:w="1029"/>
        <w:gridCol w:w="1029"/>
        <w:gridCol w:w="1029"/>
        <w:gridCol w:w="1016"/>
      </w:tblGrid>
      <w:tr>
        <w:tc>
          <w:tcPr>
            <w:tcW w:type="dxa" w:w="2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Feature</w:t>
            </w:r>
          </w:p>
        </w:tc>
        <w:tc>
          <w:tcPr>
            <w:tcW w:type="dxa" w:w="102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2015 C-A</w:t>
            </w:r>
          </w:p>
        </w:tc>
        <w:tc>
          <w:tcPr>
            <w:tcW w:type="dxa" w:w="102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2015 C-B</w:t>
            </w:r>
          </w:p>
        </w:tc>
        <w:tc>
          <w:tcPr>
            <w:tcW w:type="dxa" w:w="102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2015 C-C</w:t>
            </w:r>
          </w:p>
        </w:tc>
        <w:tc>
          <w:tcPr>
            <w:tcW w:type="dxa" w:w="1029"/>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2015 C-D</w:t>
            </w:r>
          </w:p>
        </w:tc>
        <w:tc>
          <w:tcPr>
            <w:tcW w:type="dxa" w:w="1029"/>
            <w:tcBorders>
              <w:top w:val="single" w:color="AAAAAA" w:sz="4"/>
              <w:left w:val="single" w:color="AAAAAA" w:sz="4"/>
              <w:bottom w:val="single" w:color="AAAAAA" w:sz="4"/>
              <w:right w:val="single" w:color="AAAAAA" w:sz="4"/>
            </w:tcBorders>
            <w:shd w:fill="1B5E2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2024 C-1</w:t>
            </w:r>
          </w:p>
        </w:tc>
        <w:tc>
          <w:tcPr>
            <w:tcW w:type="dxa" w:w="1029"/>
            <w:tcBorders>
              <w:top w:val="single" w:color="AAAAAA" w:sz="4"/>
              <w:left w:val="single" w:color="AAAAAA" w:sz="4"/>
              <w:bottom w:val="single" w:color="AAAAAA" w:sz="4"/>
              <w:right w:val="single" w:color="AAAAAA" w:sz="4"/>
            </w:tcBorders>
            <w:shd w:fill="1B5E2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2024 C-2</w:t>
            </w:r>
          </w:p>
        </w:tc>
        <w:tc>
          <w:tcPr>
            <w:tcW w:type="dxa" w:w="1016"/>
            <w:tcBorders>
              <w:top w:val="single" w:color="AAAAAA" w:sz="4"/>
              <w:left w:val="single" w:color="AAAAAA" w:sz="4"/>
              <w:bottom w:val="single" w:color="AAAAAA" w:sz="4"/>
              <w:right w:val="single" w:color="AAAAAA" w:sz="4"/>
            </w:tcBorders>
            <w:shd w:fill="1B5E2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2024 C-3</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Label</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Comprehensive ANC+delivery</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Late ANC, facility delivery</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C-section, high PNC</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Minimal utilisation</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High coverage</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Late ANC, facility delivery</w:t>
            </w:r>
          </w:p>
        </w:tc>
        <w:tc>
          <w:tcPr>
            <w:tcW w:type="dxa" w:w="101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Moderate ANC, limited delivery</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n (%)</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3,149 (24.2%)</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7,828 (60.1%)</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910 (7.0%)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1,143 (8.8%)</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3,232 (46.7%)</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3,349 (48.4%)</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344 (5.0%)</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First ANC month (mean)</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2.93</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4.98</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4.18</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5.21</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2.38</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4.25</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3.42</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ANC visits (mean)</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4.76</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3.43</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3.99</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3.18</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5.23</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3.27</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3.89</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Early ANC ≤3 months (%)</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97.6%</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34.7%</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99.2%</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17.5%</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54.9%</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Adequate ANC ≥4 visits (%)</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78.7%</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42.9%</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60.2%</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33.4%</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35.3%</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58.7%</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Skilled ANC provider (%)</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96.5%</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98.0%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72.9%</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68.6%</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Facility delivery (%)</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96.2%</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51.8%</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50.9%</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Skilled birth attendant (%)</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94.0%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99.1%</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26.5%</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40.7%</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Caesarean section (%)</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13.6%</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10.1%</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5.2%</w:t>
            </w:r>
          </w:p>
        </w:tc>
      </w:tr>
      <w:tr>
        <w:tc>
          <w:tcPr>
            <w:tcW w:type="dxa" w:w="21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PNC received (%)</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46.0%</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44.8%</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46.7%</w:t>
            </w:r>
          </w:p>
        </w:tc>
        <w:tc>
          <w:tcPr>
            <w:tcW w:type="dxa" w:w="1029"/>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43.1%</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45.6%</w:t>
            </w:r>
          </w:p>
        </w:tc>
        <w:tc>
          <w:tcPr>
            <w:tcW w:type="dxa" w:w="1029"/>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41.6%</w:t>
            </w:r>
          </w:p>
        </w:tc>
        <w:tc>
          <w:tcPr>
            <w:tcW w:type="dxa" w:w="1016"/>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36.1%</w:t>
            </w:r>
          </w:p>
        </w:tc>
      </w:tr>
    </w:tbl>
    <w:p>
      <w:pPr>
        <w:spacing w:after="0" w:before="240"/>
      </w:pPr>
    </w:p>
    <w:p>
      <w:pPr>
        <w:spacing w:after="60" w:before="240"/>
      </w:pPr>
      <w:r>
        <w:rPr>
          <w:rFonts w:ascii="Times New Roman" w:cs="Times New Roman" w:eastAsia="Times New Roman" w:hAnsi="Times New Roman"/>
          <w:b/>
          <w:bCs/>
          <w:sz w:val="22"/>
          <w:szCs w:val="22"/>
        </w:rPr>
        <w:t xml:space="preserve">Table 5. Subgroup Association with Cluster Membership (Cramér’s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100"/>
        <w:gridCol w:w="1100"/>
        <w:gridCol w:w="1200"/>
        <w:gridCol w:w="1100"/>
        <w:gridCol w:w="1100"/>
        <w:gridCol w:w="780"/>
      </w:tblGrid>
      <w:tr>
        <w:tc>
          <w:tcPr>
            <w:tcW w:type="dxa" w:w="1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Subgroup</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MDHS 2015 (n)</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Cramér’s V</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p-value</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MDHS 2024 (n)</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Cramér’s V</w:t>
            </w:r>
          </w:p>
        </w:tc>
        <w:tc>
          <w:tcPr>
            <w:tcW w:type="dxa" w:w="1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p-value</w:t>
            </w:r>
          </w:p>
        </w:tc>
        <w:tc>
          <w:tcPr>
            <w:tcW w:type="dxa" w:w="7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Change</w:t>
            </w:r>
          </w:p>
        </w:tc>
      </w:tr>
      <w:tr>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Residence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13,030</w:t>
            </w:r>
          </w:p>
        </w:tc>
        <w:tc>
          <w:tcPr>
            <w:tcW w:type="dxa" w:w="110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0.123</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6,925</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0.055</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c>
          <w:tcPr>
            <w:tcW w:type="dxa" w:w="78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Narrowed</w:t>
            </w:r>
          </w:p>
        </w:tc>
      </w:tr>
      <w:tr>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quintile</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13,030</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0.090</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6,668</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0.059</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c>
          <w:tcPr>
            <w:tcW w:type="dxa" w:w="78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Narrowed</w:t>
            </w:r>
          </w:p>
        </w:tc>
      </w:tr>
      <w:tr>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Age group</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13,030</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0.046</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6,925</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0.042</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c>
          <w:tcPr>
            <w:tcW w:type="dxa" w:w="780"/>
            <w:tcBorders>
              <w:top w:val="single" w:color="AAAAAA" w:sz="4"/>
              <w:left w:val="single" w:color="AAAAAA" w:sz="4"/>
              <w:bottom w:val="single" w:color="AAAAAA" w:sz="4"/>
              <w:right w:val="single" w:color="AAAAAA" w:sz="4"/>
            </w:tcBorders>
            <w:shd w:fill="FFF9C4"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Stable</w:t>
            </w:r>
          </w:p>
        </w:tc>
      </w:tr>
      <w:tr>
        <w:tc>
          <w:tcPr>
            <w:tcW w:type="dxa" w:w="16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Education level</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13,030</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0.089</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c>
          <w:tcPr>
            <w:tcW w:type="dxa" w:w="1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6,925</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0.066</w:t>
            </w:r>
          </w:p>
        </w:tc>
        <w:tc>
          <w:tcPr>
            <w:tcW w:type="dxa" w:w="11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&lt;0.001</w:t>
            </w:r>
          </w:p>
        </w:tc>
        <w:tc>
          <w:tcPr>
            <w:tcW w:type="dxa" w:w="78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Narrowed</w:t>
            </w:r>
          </w:p>
        </w:tc>
      </w:tr>
    </w:tbl>
    <w:p>
      <w:pPr>
        <w:spacing w:after="80" w:before="40"/>
      </w:pPr>
      <w:r>
        <w:rPr>
          <w:rFonts w:ascii="Times New Roman" w:cs="Times New Roman" w:eastAsia="Times New Roman" w:hAnsi="Times New Roman"/>
          <w:i/>
          <w:iCs/>
          <w:sz w:val="18"/>
          <w:szCs w:val="18"/>
        </w:rPr>
        <w:t xml:space="preserve">Cramér’s V: &lt;0.1 = small; 0.1–0.3 = medium; &gt;0.3 = large.</w:t>
      </w:r>
    </w:p>
    <w:p>
      <w:pPr>
        <w:spacing w:after="0" w:before="240"/>
      </w:pPr>
    </w:p>
    <w:p>
      <w:pPr>
        <w:spacing w:after="60" w:before="240"/>
      </w:pPr>
      <w:r>
        <w:rPr>
          <w:rFonts w:ascii="Times New Roman" w:cs="Times New Roman" w:eastAsia="Times New Roman" w:hAnsi="Times New Roman"/>
          <w:b/>
          <w:bCs/>
          <w:sz w:val="22"/>
          <w:szCs w:val="22"/>
        </w:rPr>
        <w:t xml:space="preserve">Table 6. Top 5 Predictors of Cluster Membership (Random Forest Variable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1248"/>
        <w:gridCol w:w="2808"/>
        <w:gridCol w:w="1560"/>
      </w:tblGrid>
      <w:tr>
        <w:tc>
          <w:tcPr>
            <w:tcW w:type="dxa" w:w="936"/>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Rank</w:t>
            </w:r>
          </w:p>
        </w:tc>
        <w:tc>
          <w:tcPr>
            <w:tcW w:type="dxa" w:w="28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MDHS 2015 Predictor</w:t>
            </w:r>
          </w:p>
        </w:tc>
        <w:tc>
          <w:tcPr>
            <w:tcW w:type="dxa" w:w="124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MDI</w:t>
            </w:r>
          </w:p>
        </w:tc>
        <w:tc>
          <w:tcPr>
            <w:tcW w:type="dxa" w:w="2808"/>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MDHS 2024 Predictor</w:t>
            </w:r>
          </w:p>
        </w:tc>
        <w:tc>
          <w:tcPr>
            <w:tcW w:type="dxa" w:w="1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MDI</w:t>
            </w:r>
          </w:p>
        </w:tc>
      </w:tr>
      <w:tr>
        <w:tc>
          <w:tcPr>
            <w:tcW w:type="dxa" w:w="93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Parity</w:t>
            </w:r>
          </w:p>
        </w:tc>
        <w:tc>
          <w:tcPr>
            <w:tcW w:type="dxa" w:w="12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0.180</w:t>
            </w:r>
          </w:p>
        </w:tc>
        <w:tc>
          <w:tcPr>
            <w:tcW w:type="dxa" w:w="2808"/>
            <w:tcBorders>
              <w:top w:val="single" w:color="AAAAAA" w:sz="4"/>
              <w:left w:val="single" w:color="AAAAAA" w:sz="4"/>
              <w:bottom w:val="single" w:color="AAAAAA" w:sz="4"/>
              <w:right w:val="single" w:color="AAAAAA" w:sz="4"/>
            </w:tcBorders>
            <w:shd w:fill="FFF3CD"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Age</w:t>
            </w:r>
          </w:p>
        </w:tc>
        <w:tc>
          <w:tcPr>
            <w:tcW w:type="dxa" w:w="1560"/>
            <w:tcBorders>
              <w:top w:val="single" w:color="AAAAAA" w:sz="4"/>
              <w:left w:val="single" w:color="AAAAAA" w:sz="4"/>
              <w:bottom w:val="single" w:color="AAAAAA" w:sz="4"/>
              <w:right w:val="single" w:color="AAAAAA" w:sz="4"/>
            </w:tcBorders>
            <w:shd w:fill="FFF3CD"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0.269</w:t>
            </w:r>
          </w:p>
        </w:tc>
      </w:tr>
      <w:tr>
        <w:tc>
          <w:tcPr>
            <w:tcW w:type="dxa" w:w="93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Age</w:t>
            </w:r>
          </w:p>
        </w:tc>
        <w:tc>
          <w:tcPr>
            <w:tcW w:type="dxa" w:w="12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0.166</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Parity</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0.167</w:t>
            </w:r>
          </w:p>
        </w:tc>
      </w:tr>
      <w:tr>
        <w:tc>
          <w:tcPr>
            <w:tcW w:type="dxa" w:w="93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Richest</w:t>
            </w:r>
          </w:p>
        </w:tc>
        <w:tc>
          <w:tcPr>
            <w:tcW w:type="dxa" w:w="12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0.106</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Region</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0.094</w:t>
            </w:r>
          </w:p>
        </w:tc>
      </w:tr>
      <w:tr>
        <w:tc>
          <w:tcPr>
            <w:tcW w:type="dxa" w:w="93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Region</w:t>
            </w:r>
          </w:p>
        </w:tc>
        <w:tc>
          <w:tcPr>
            <w:tcW w:type="dxa" w:w="12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0.076</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Marital status (married)</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0.058</w:t>
            </w:r>
          </w:p>
        </w:tc>
      </w:tr>
      <w:tr>
        <w:tc>
          <w:tcPr>
            <w:tcW w:type="dxa" w:w="936"/>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Residence: Rural</w:t>
            </w:r>
          </w:p>
        </w:tc>
        <w:tc>
          <w:tcPr>
            <w:tcW w:type="dxa" w:w="124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0.068</w:t>
            </w:r>
          </w:p>
        </w:tc>
        <w:tc>
          <w:tcPr>
            <w:tcW w:type="dxa" w:w="2808"/>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Distance to facility (barrier)</w:t>
            </w:r>
          </w:p>
        </w:tc>
        <w:tc>
          <w:tcPr>
            <w:tcW w:type="dxa" w:w="156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0.057</w:t>
            </w:r>
          </w:p>
        </w:tc>
      </w:tr>
    </w:tbl>
    <w:p>
      <w:pPr>
        <w:spacing w:after="80" w:before="40"/>
      </w:pPr>
      <w:r>
        <w:rPr>
          <w:rFonts w:ascii="Times New Roman" w:cs="Times New Roman" w:eastAsia="Times New Roman" w:hAnsi="Times New Roman"/>
          <w:i/>
          <w:iCs/>
          <w:sz w:val="18"/>
          <w:szCs w:val="18"/>
        </w:rPr>
        <w:t xml:space="preserve">Importance score = mean reduction in prediction error (MDI). Cross-validated overall accuracy (macro F1): 2015 = 0.21; 2024 = 0.33.</w:t>
      </w:r>
    </w:p>
    <w:p>
      <w:pPr>
        <w:pageBreakBefore/>
      </w:pPr>
    </w:p>
    <w:p>
      <w:pPr>
        <w:spacing w:after="60" w:before="240"/>
      </w:pPr>
      <w:r>
        <w:rPr>
          <w:rFonts w:ascii="Times New Roman" w:cs="Times New Roman" w:eastAsia="Times New Roman" w:hAnsi="Times New Roman"/>
          <w:b/>
          <w:bCs/>
          <w:sz w:val="22"/>
          <w:szCs w:val="22"/>
        </w:rPr>
        <w:t xml:space="preserve">Table 7. Adjusted Odds Ratios from Multinomial Logistic Regression: Predictors of Cluster Membership</w:t>
      </w:r>
    </w:p>
    <w:p>
      <w:pPr>
        <w:spacing w:after="80" w:before="40"/>
      </w:pPr>
      <w:r>
        <w:rPr>
          <w:rFonts w:ascii="Times New Roman" w:cs="Times New Roman" w:eastAsia="Times New Roman" w:hAnsi="Times New Roman"/>
          <w:i/>
          <w:iCs/>
          <w:sz w:val="18"/>
          <w:szCs w:val="18"/>
        </w:rPr>
        <w:t xml:space="preserve">Panel A: MDHS 2015 — Reference group: C-B (Late ANC, facility delivery; n = 7,828)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Predictor</w:t>
            </w:r>
          </w:p>
        </w:tc>
        <w:tc>
          <w:tcPr>
            <w:tcW w:type="dxa" w:w="23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C-C: C-section
(n = 910)</w:t>
            </w:r>
          </w:p>
        </w:tc>
        <w:tc>
          <w:tcPr>
            <w:tcW w:type="dxa" w:w="23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C-D: Minimal utilisation
(n = 1,143)</w:t>
            </w:r>
          </w:p>
        </w:tc>
        <w:tc>
          <w:tcPr>
            <w:tcW w:type="dxa" w:w="232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C-A: Comprehensive ANC+delivery
(n = 3,149)</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Age (per year)</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1.06 (1.04–1.08)***</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0.99 (0.97–1.01)</w:t>
            </w:r>
          </w:p>
        </w:tc>
        <w:tc>
          <w:tcPr>
            <w:tcW w:type="dxa" w:w="232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1.01 (1.00–1.03)*</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Parity</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0.73 (0.68–0.79)***</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1.09 (1.04–1.16)**</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0.97 (0.93–1.00)</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Married</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0.85 (0.73–1.00)</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0.88 (0.76–1.02)</w:t>
            </w:r>
          </w:p>
        </w:tc>
        <w:tc>
          <w:tcPr>
            <w:tcW w:type="dxa" w:w="232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1.14 (1.03–1.27)*</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Distance barrier</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1.05 (0.90–1.22)</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1.39 (1.21–1.59)***</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0.99 (0.90–1.08)</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Region</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0.81 (0.74–0.89)***</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0.94 (0.86–1.02)</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1.02 (0.97–1.08)</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Urban residence</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1.24 (1.02–1.50)*</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0.73 (0.57–0.94)*</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0.82 (0.71–0.94)**</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Poorer</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0.98 (0.76–1.26)</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1.05 (0.87–1.26)</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1.05 (0.93–1.20)</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Poorest</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0.87 (0.67–1.14)</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1.13 (0.94–1.36)</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0.96 (0.84–1.10)</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Richer</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1.48 (1.17–1.88)**</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0.92 (0.75–1.13)</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1.04 (0.91–1.19)</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Richest</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1.81 (1.40–2.34)***</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0.84 (0.65–1.10)</w:t>
            </w:r>
          </w:p>
        </w:tc>
        <w:tc>
          <w:tcPr>
            <w:tcW w:type="dxa" w:w="232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1.28 (1.09–1.50)**</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Education: No education</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0.45 (0.28–0.72)***</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2.13 (0.84–5.43)</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0.62 (0.44–0.88)**</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Education: Primary</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0.54 (0.37–0.78)**</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1.85 (0.74–4.63)</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0.69 (0.50–0.95)*</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Education: Secondary</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0.59 (0.41–0.85)**</w:t>
            </w:r>
          </w:p>
        </w:tc>
        <w:tc>
          <w:tcPr>
            <w:tcW w:type="dxa" w:w="232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1.29 (0.51–3.24)</w:t>
            </w:r>
          </w:p>
        </w:tc>
        <w:tc>
          <w:tcPr>
            <w:tcW w:type="dxa" w:w="232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0.62 (0.45–0.85)**</w:t>
            </w:r>
          </w:p>
        </w:tc>
      </w:tr>
    </w:tbl>
    <w:p>
      <w:pPr>
        <w:spacing w:after="0" w:before="280"/>
      </w:pPr>
    </w:p>
    <w:p>
      <w:pPr>
        <w:spacing w:after="80" w:before="40"/>
      </w:pPr>
      <w:r>
        <w:rPr>
          <w:rFonts w:ascii="Times New Roman" w:cs="Times New Roman" w:eastAsia="Times New Roman" w:hAnsi="Times New Roman"/>
          <w:i/>
          <w:iCs/>
          <w:sz w:val="18"/>
          <w:szCs w:val="18"/>
        </w:rPr>
        <w:t xml:space="preserve">Panel B: MDHS 2024 — Reference group: C-2 (Late ANC, facility delivery; n = 3,349)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Predictor</w:t>
            </w:r>
          </w:p>
        </w:tc>
        <w:tc>
          <w:tcPr>
            <w:tcW w:type="dxa" w:w="34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C-1: High coverage
(n = 3,232)</w:t>
            </w:r>
          </w:p>
        </w:tc>
        <w:tc>
          <w:tcPr>
            <w:tcW w:type="dxa" w:w="34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C-3: Moderate ANC, limited delivery
(n = 344)</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Age (per year)</w:t>
            </w:r>
          </w:p>
        </w:tc>
        <w:tc>
          <w:tcPr>
            <w:tcW w:type="dxa" w:w="348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1.02 (1.00–1.03)*</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 (0.97–1.03)</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Parity</w:t>
            </w:r>
          </w:p>
        </w:tc>
        <w:tc>
          <w:tcPr>
            <w:tcW w:type="dxa" w:w="348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0.91 (0.86–0.96)***</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1.09 (0.98–1.22)</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Married</w:t>
            </w:r>
          </w:p>
        </w:tc>
        <w:tc>
          <w:tcPr>
            <w:tcW w:type="dxa" w:w="3480"/>
            <w:tcBorders>
              <w:top w:val="single" w:color="AAAAAA" w:sz="4"/>
              <w:left w:val="single" w:color="AAAAAA" w:sz="4"/>
              <w:bottom w:val="single" w:color="AAAAAA" w:sz="4"/>
              <w:right w:val="single" w:color="AAAAAA" w:sz="4"/>
            </w:tcBorders>
            <w:shd w:fill="E8F5E9"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1.22 (1.09–1.36)***</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1.21 (0.94–1.56)</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Distance barrier</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1.03 (0.93–1.14)</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0.89 (0.70–1.13)</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Region</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1.06 (0.99–1.13)</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1.00 (0.86–1.15)</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Urban residence</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1.02 (0.87–1.19)</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0.76 (0.50–1.14)</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Poorer</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0.97 (0.82–1.15)</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1.40 (0.97–2.02)</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Poorest</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0.96 (0.82–1.12)</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1.34 (0.94–1.90)</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Richer</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0.95 (0.80–1.12)</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1.05 (0.71–1.55)</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Wealth: Richest</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1.15 (0.95–1.39)</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1.06 (0.66–1.70)</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Education: No education</w:t>
            </w:r>
          </w:p>
        </w:tc>
        <w:tc>
          <w:tcPr>
            <w:tcW w:type="dxa" w:w="348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0.43 (0.28–0.65)***</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0.90 (0.31–2.62)</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Education: Primary</w:t>
            </w:r>
          </w:p>
        </w:tc>
        <w:tc>
          <w:tcPr>
            <w:tcW w:type="dxa" w:w="348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0.48 (0.34–0.70)***</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0.67 (0.25–1.81)</w:t>
            </w:r>
          </w:p>
        </w:tc>
      </w:tr>
      <w:tr>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8"/>
                <w:szCs w:val="18"/>
              </w:rPr>
              <w:t xml:space="preserve">Education: Secondary</w:t>
            </w:r>
          </w:p>
        </w:tc>
        <w:tc>
          <w:tcPr>
            <w:tcW w:type="dxa" w:w="3480"/>
            <w:tcBorders>
              <w:top w:val="single" w:color="AAAAAA" w:sz="4"/>
              <w:left w:val="single" w:color="AAAAAA" w:sz="4"/>
              <w:bottom w:val="single" w:color="AAAAAA" w:sz="4"/>
              <w:right w:val="single" w:color="AAAAAA" w:sz="4"/>
            </w:tcBorders>
            <w:shd w:fill="FFE5CC"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0.50 (0.35–0.71)***</w:t>
            </w:r>
          </w:p>
        </w:tc>
        <w:tc>
          <w:tcPr>
            <w:tcW w:type="dxa" w:w="348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18"/>
                <w:szCs w:val="18"/>
              </w:rPr>
              <w:t xml:space="preserve">0.74 (0.28–1.97)</w:t>
            </w:r>
          </w:p>
        </w:tc>
      </w:tr>
    </w:tbl>
    <w:p>
      <w:pPr>
        <w:spacing w:after="80" w:before="40"/>
      </w:pPr>
      <w:r>
        <w:rPr>
          <w:rFonts w:ascii="Times New Roman" w:cs="Times New Roman" w:eastAsia="Times New Roman" w:hAnsi="Times New Roman"/>
          <w:i/>
          <w:iCs/>
          <w:sz w:val="18"/>
          <w:szCs w:val="18"/>
        </w:rPr>
        <w:t xml:space="preserve">OR = adjusted odds ratio; 95% confidence interval in parentheses. Reference cluster: C-B (2015) and C-2 (2024), both Late ANC, facility delivery. Reference categories within predictors: residence = rural; wealth quintile = middle; education = higher education. * p &lt; 0.05; ** p &lt; 0.01; *** p &lt; 0.001. Highlighted cells: orange = lower odds; green = higher odds. McFadden R² = 0.023 (2015); 0.011 (2024).</w:t>
      </w:r>
    </w:p>
    <w:p>
      <w:pPr>
        <w:pageBreakBefore/>
      </w:pPr>
    </w:p>
    <w:p>
      <w:pPr>
        <w:pStyle w:val="Heading1"/>
        <w:spacing w:after="100" w:before="320"/>
      </w:pPr>
      <w:r>
        <w:rPr>
          <w:rFonts w:ascii="Times New Roman" w:cs="Times New Roman" w:eastAsia="Times New Roman" w:hAnsi="Times New Roman"/>
          <w:b/>
          <w:bCs/>
          <w:color w:val="1F3864"/>
          <w:sz w:val="28"/>
          <w:szCs w:val="28"/>
        </w:rPr>
        <w:t xml:space="preserve">Figure Legends</w:t>
      </w:r>
    </w:p>
    <w:p>
      <w:pPr>
        <w:spacing w:after="80" w:before="120"/>
      </w:pPr>
      <w:r>
        <w:rPr>
          <w:rFonts w:ascii="Times New Roman" w:cs="Times New Roman" w:eastAsia="Times New Roman" w:hAnsi="Times New Roman"/>
          <w:sz w:val="22"/>
          <w:szCs w:val="22"/>
        </w:rPr>
        <w:t xml:space="preserve">Figure 1. Selecting the number of groups for each survey year. Lines show two complementary statistical fit criteria across two to six candidate solutions: the Bayesian Information Criterion (BIC, left axis; lower values indicate a better fit) and the silhouette coefficient (right axis; higher values indicate more clearly separated groups). The optimal number of groups was chosen by combining these criteria (60% BIC, 40% silhouette), requiring each group to contain at least 5% of women. The dashed vertical line marks the selected solution.</w:t>
      </w:r>
    </w:p>
    <w:p>
      <w:pPr>
        <w:spacing w:after="80" w:before="120"/>
      </w:pPr>
      <w:r>
        <w:rPr>
          <w:rFonts w:ascii="Times New Roman" w:cs="Times New Roman" w:eastAsia="Times New Roman" w:hAnsi="Times New Roman"/>
          <w:sz w:val="22"/>
          <w:szCs w:val="22"/>
        </w:rPr>
        <w:t xml:space="preserve">Figure 2a. Cluster profiles of maternal care utilisation indicators, MDHS 2015 (K = 4). Bars show mean values per cluster: first ANC visit (months) and ANC visits (mean count) as raw means; all binary indicators as percentages.</w:t>
      </w:r>
    </w:p>
    <w:p>
      <w:pPr>
        <w:spacing w:after="80" w:before="120"/>
      </w:pPr>
      <w:r>
        <w:rPr>
          <w:rFonts w:ascii="Times New Roman" w:cs="Times New Roman" w:eastAsia="Times New Roman" w:hAnsi="Times New Roman"/>
          <w:sz w:val="22"/>
          <w:szCs w:val="22"/>
        </w:rPr>
        <w:t xml:space="preserve">Figure 2b. Cluster profiles of maternal care utilisation indicators, MDHS 2024 (K = 3). Bars show mean values per cluster: first ANC visit (months) and ANC visits (mean count) as raw means; all binary indicators as percentages.</w:t>
      </w:r>
    </w:p>
    <w:p>
      <w:pPr>
        <w:spacing w:after="80" w:before="120"/>
      </w:pPr>
      <w:r>
        <w:rPr>
          <w:rFonts w:ascii="Times New Roman" w:cs="Times New Roman" w:eastAsia="Times New Roman" w:hAnsi="Times New Roman"/>
          <w:sz w:val="22"/>
          <w:szCs w:val="22"/>
        </w:rPr>
        <w:t xml:space="preserve">Figure 3. Temporal change in maternal care utilisation patterns, 2015 to 2024. (A) Cluster prevalences by survey year, with aligned 2015 and 2024 clusters. (B) Feature-level changes (2024 minus 2015; asterisks indicate p &lt; 0.05). (C) Shared PCA projection: cluster centroids for 2015 and 2024.</w:t>
      </w:r>
    </w:p>
    <w:p>
      <w:pPr>
        <w:spacing w:after="80" w:before="120"/>
      </w:pPr>
      <w:r>
        <w:rPr>
          <w:rFonts w:ascii="Times New Roman" w:cs="Times New Roman" w:eastAsia="Times New Roman" w:hAnsi="Times New Roman"/>
          <w:sz w:val="22"/>
          <w:szCs w:val="22"/>
        </w:rPr>
        <w:t xml:space="preserve">Figure 4. Cluster prevalence by subgroup: MDHS 2015 (top row) and MDHS 2024 (bottom row). (A) Residence (urban/rural). (B) Wealth quintile (poorest to richest). (C) Age group (adolescent, young adult, older).</w:t>
      </w:r>
    </w:p>
    <w:p>
      <w:pPr>
        <w:spacing w:after="80" w:before="120"/>
      </w:pPr>
      <w:r>
        <w:rPr>
          <w:rFonts w:ascii="Times New Roman" w:cs="Times New Roman" w:eastAsia="Times New Roman" w:hAnsi="Times New Roman"/>
          <w:sz w:val="22"/>
          <w:szCs w:val="22"/>
        </w:rPr>
        <w:t xml:space="preserve">Figure 5. Predictors of cluster membership. (A) Random Forest variable importance (MDI), top 12 predictors for 2015 and 2024. (B) Per-cluster F1 scores from 5-fold cross-validation, with dashed lines marking macro F1.</w:t>
      </w:r>
    </w:p>
    <w:p>
      <w:pPr>
        <w:spacing w:after="80" w:before="120"/>
      </w:pPr>
      <w:r>
        <w:rPr>
          <w:rFonts w:ascii="Times New Roman" w:cs="Times New Roman" w:eastAsia="Times New Roman" w:hAnsi="Times New Roman"/>
          <w:sz w:val="22"/>
          <w:szCs w:val="22"/>
        </w:rPr>
        <w:t xml:space="preserve">Figure 6. Two-dimensional summary of care utilisation patterns, with each point representing one woman coloured by her group assignment. The axes capture the two main directions of variation in care-seeking behaviour across all eleven indicators, explaining 25.1% and 15.2% of the overall variation respectively. Stars mark group centres. MDHS 2015 (left, four groups) and MDHS 2024 (right, three groups).</w:t>
      </w:r>
    </w:p>
    <w:p>
      <w:pPr>
        <w:pageBreakBefore/>
      </w:pPr>
    </w:p>
    <w:p>
      <w:pPr>
        <w:pStyle w:val="Heading1"/>
        <w:spacing w:after="100" w:before="320"/>
      </w:pPr>
      <w:r>
        <w:rPr>
          <w:rFonts w:ascii="Times New Roman" w:cs="Times New Roman" w:eastAsia="Times New Roman" w:hAnsi="Times New Roman"/>
          <w:b/>
          <w:bCs/>
          <w:color w:val="1F3864"/>
          <w:sz w:val="28"/>
          <w:szCs w:val="28"/>
        </w:rPr>
        <w:t xml:space="preserve">References</w:t>
      </w:r>
    </w:p>
    <w:p>
      <w:pPr>
        <w:spacing w:after="60" w:before="60"/>
        <w:ind w:left="360" w:hanging="360"/>
      </w:pPr>
      <w:r>
        <w:rPr>
          <w:rFonts w:ascii="Times New Roman" w:cs="Times New Roman" w:eastAsia="Times New Roman" w:hAnsi="Times New Roman"/>
          <w:sz w:val="20"/>
          <w:szCs w:val="20"/>
        </w:rPr>
        <w:t xml:space="preserve">1. WHO, UNICEF, UNFPA, World Bank, UN. Trends in Maternal Mortality 2000–2020. Geneva: WHO; 2023.</w:t>
      </w:r>
    </w:p>
    <w:p>
      <w:pPr>
        <w:spacing w:after="60" w:before="60"/>
        <w:ind w:left="360" w:hanging="360"/>
      </w:pPr>
      <w:r>
        <w:rPr>
          <w:rFonts w:ascii="Times New Roman" w:cs="Times New Roman" w:eastAsia="Times New Roman" w:hAnsi="Times New Roman"/>
          <w:sz w:val="20"/>
          <w:szCs w:val="20"/>
        </w:rPr>
        <w:t xml:space="preserve">2. GBD 2019 Maternal Mortality Collaborators. Global, regional, and national levels of maternal mortality, 1990–2019. Lancet. 2020;396:1161–1203.</w:t>
      </w:r>
    </w:p>
    <w:p>
      <w:pPr>
        <w:spacing w:after="60" w:before="60"/>
        <w:ind w:left="360" w:hanging="360"/>
      </w:pPr>
      <w:r>
        <w:rPr>
          <w:rFonts w:ascii="Times New Roman" w:cs="Times New Roman" w:eastAsia="Times New Roman" w:hAnsi="Times New Roman"/>
          <w:sz w:val="20"/>
          <w:szCs w:val="20"/>
        </w:rPr>
        <w:t xml:space="preserve">3. Bhutta ZA, et al. Can available interventions end preventable deaths in mothers, newborn babies, and stillbirths? Lancet. 2014;384:347–370.</w:t>
      </w:r>
    </w:p>
    <w:p>
      <w:pPr>
        <w:spacing w:after="60" w:before="60"/>
        <w:ind w:left="360" w:hanging="360"/>
      </w:pPr>
      <w:r>
        <w:rPr>
          <w:rFonts w:ascii="Times New Roman" w:cs="Times New Roman" w:eastAsia="Times New Roman" w:hAnsi="Times New Roman"/>
          <w:sz w:val="20"/>
          <w:szCs w:val="20"/>
        </w:rPr>
        <w:t xml:space="preserve">4. Victora CG, et al. Countdown to 2015: a decade of tracking progress for maternal, newborn, and child survival. Lancet. 2016;387:2049–2059.</w:t>
      </w:r>
    </w:p>
    <w:p>
      <w:pPr>
        <w:spacing w:after="60" w:before="60"/>
        <w:ind w:left="360" w:hanging="360"/>
      </w:pPr>
      <w:r>
        <w:rPr>
          <w:rFonts w:ascii="Times New Roman" w:cs="Times New Roman" w:eastAsia="Times New Roman" w:hAnsi="Times New Roman"/>
          <w:sz w:val="20"/>
          <w:szCs w:val="20"/>
        </w:rPr>
        <w:t xml:space="preserve">5. Malawi National Statistical Office, ICF. Malawi Demographic and Health Survey 2024. Zomba and Rockville: NSO and ICF; 2024.</w:t>
      </w:r>
    </w:p>
    <w:p>
      <w:pPr>
        <w:spacing w:after="60" w:before="60"/>
        <w:ind w:left="360" w:hanging="360"/>
      </w:pPr>
      <w:r>
        <w:rPr>
          <w:rFonts w:ascii="Times New Roman" w:cs="Times New Roman" w:eastAsia="Times New Roman" w:hAnsi="Times New Roman"/>
          <w:sz w:val="20"/>
          <w:szCs w:val="20"/>
        </w:rPr>
        <w:t xml:space="preserve">6. Government of Malawi. Health Sector Strategic Plan III 2017–2022. Lilongwe: Ministry of Health; 2017.</w:t>
      </w:r>
    </w:p>
    <w:p>
      <w:pPr>
        <w:spacing w:after="60" w:before="60"/>
        <w:ind w:left="360" w:hanging="360"/>
      </w:pPr>
      <w:r>
        <w:rPr>
          <w:rFonts w:ascii="Times New Roman" w:cs="Times New Roman" w:eastAsia="Times New Roman" w:hAnsi="Times New Roman"/>
          <w:sz w:val="20"/>
          <w:szCs w:val="20"/>
        </w:rPr>
        <w:t xml:space="preserve">7. Mlava G, Maluwa A, Chirwa E. Maternal health care services utilization in Malawi. BMC Health Serv Res. 2020;20:532.</w:t>
      </w:r>
    </w:p>
    <w:p>
      <w:pPr>
        <w:spacing w:after="60" w:before="60"/>
        <w:ind w:left="360" w:hanging="360"/>
      </w:pPr>
      <w:r>
        <w:rPr>
          <w:rFonts w:ascii="Times New Roman" w:cs="Times New Roman" w:eastAsia="Times New Roman" w:hAnsi="Times New Roman"/>
          <w:sz w:val="20"/>
          <w:szCs w:val="20"/>
        </w:rPr>
        <w:t xml:space="preserve">8. Malawi National Statistical Office, ICF. Malawi Demographic and Health Survey 2015–16. Zomba and Rockville: NSO and ICF; 2017.</w:t>
      </w:r>
    </w:p>
    <w:p>
      <w:pPr>
        <w:spacing w:after="60" w:before="60"/>
        <w:ind w:left="360" w:hanging="360"/>
      </w:pPr>
      <w:r>
        <w:rPr>
          <w:rFonts w:ascii="Times New Roman" w:cs="Times New Roman" w:eastAsia="Times New Roman" w:hAnsi="Times New Roman"/>
          <w:sz w:val="20"/>
          <w:szCs w:val="20"/>
        </w:rPr>
        <w:t xml:space="preserve">9. Kerber KJ, et al. Continuum of care for maternal, newborn, and child health. Lancet. 2007;370:1358–1369.</w:t>
      </w:r>
    </w:p>
    <w:p>
      <w:pPr>
        <w:spacing w:after="60" w:before="60"/>
        <w:ind w:left="360" w:hanging="360"/>
      </w:pPr>
      <w:r>
        <w:rPr>
          <w:rFonts w:ascii="Times New Roman" w:cs="Times New Roman" w:eastAsia="Times New Roman" w:hAnsi="Times New Roman"/>
          <w:sz w:val="20"/>
          <w:szCs w:val="20"/>
        </w:rPr>
        <w:t xml:space="preserve">10. Hastie T, Tibshirani R, Friedman J. The Elements of Statistical Learning (2nd ed.). New York: Springer; 2009.</w:t>
      </w:r>
    </w:p>
    <w:p>
      <w:pPr>
        <w:spacing w:after="60" w:before="60"/>
        <w:ind w:left="360" w:hanging="360"/>
      </w:pPr>
      <w:r>
        <w:rPr>
          <w:rFonts w:ascii="Times New Roman" w:cs="Times New Roman" w:eastAsia="Times New Roman" w:hAnsi="Times New Roman"/>
          <w:sz w:val="20"/>
          <w:szCs w:val="20"/>
        </w:rPr>
        <w:t xml:space="preserve">11. Bishop CM. Pattern Recognition and Machine Learning. New York: Springer; 2006.</w:t>
      </w:r>
    </w:p>
    <w:p>
      <w:pPr>
        <w:spacing w:after="60" w:before="60"/>
        <w:ind w:left="360" w:hanging="360"/>
      </w:pPr>
      <w:r>
        <w:rPr>
          <w:rFonts w:ascii="Times New Roman" w:cs="Times New Roman" w:eastAsia="Times New Roman" w:hAnsi="Times New Roman"/>
          <w:sz w:val="20"/>
          <w:szCs w:val="20"/>
        </w:rPr>
        <w:t xml:space="preserve">12. Benova L, et al. Two decades of antenatal and delivery care in Uganda. BMC Health Serv Res. 2018;18:758.</w:t>
      </w:r>
    </w:p>
    <w:p>
      <w:pPr>
        <w:spacing w:after="60" w:before="60"/>
        <w:ind w:left="360" w:hanging="360"/>
      </w:pPr>
      <w:r>
        <w:rPr>
          <w:rFonts w:ascii="Times New Roman" w:cs="Times New Roman" w:eastAsia="Times New Roman" w:hAnsi="Times New Roman"/>
          <w:sz w:val="20"/>
          <w:szCs w:val="20"/>
        </w:rPr>
        <w:t xml:space="preserve">13. Nwala G, et al. Cluster analysis of antenatal care utilisation. Int J Gynecol Obstet. 2022;156:512–519.</w:t>
      </w:r>
    </w:p>
    <w:p>
      <w:pPr>
        <w:spacing w:after="60" w:before="60"/>
        <w:ind w:left="360" w:hanging="360"/>
      </w:pPr>
      <w:r>
        <w:rPr>
          <w:rFonts w:ascii="Times New Roman" w:cs="Times New Roman" w:eastAsia="Times New Roman" w:hAnsi="Times New Roman"/>
          <w:sz w:val="20"/>
          <w:szCs w:val="20"/>
        </w:rPr>
        <w:t xml:space="preserve">14. Afulani PA, et al. Person-centred maternity care in Kenya, Ghana, and India. Lancet Glob Health. 2019;7:e96–e109.</w:t>
      </w:r>
    </w:p>
    <w:p>
      <w:pPr>
        <w:spacing w:after="60" w:before="60"/>
        <w:ind w:left="360" w:hanging="360"/>
      </w:pPr>
      <w:r>
        <w:rPr>
          <w:rFonts w:ascii="Times New Roman" w:cs="Times New Roman" w:eastAsia="Times New Roman" w:hAnsi="Times New Roman"/>
          <w:sz w:val="20"/>
          <w:szCs w:val="20"/>
        </w:rPr>
        <w:t xml:space="preserve">15. WHO. WHO Recommendations on Antenatal Care for a Positive Pregnancy Experience. Geneva: WHO; 2016.</w:t>
      </w:r>
    </w:p>
    <w:p>
      <w:pPr>
        <w:spacing w:after="60" w:before="60"/>
        <w:ind w:left="360" w:hanging="360"/>
      </w:pPr>
      <w:r>
        <w:rPr>
          <w:rFonts w:ascii="Times New Roman" w:cs="Times New Roman" w:eastAsia="Times New Roman" w:hAnsi="Times New Roman"/>
          <w:sz w:val="20"/>
          <w:szCs w:val="20"/>
        </w:rPr>
        <w:t xml:space="preserve">16. Benova L, et al. Cross-country comparison of facility delivery in sub-Saharan Africa. Glob Health Action. 2021;14:1–11.</w:t>
      </w:r>
    </w:p>
    <w:p>
      <w:pPr>
        <w:spacing w:after="60" w:before="60"/>
        <w:ind w:left="360" w:hanging="360"/>
      </w:pPr>
      <w:r>
        <w:rPr>
          <w:rFonts w:ascii="Times New Roman" w:cs="Times New Roman" w:eastAsia="Times New Roman" w:hAnsi="Times New Roman"/>
          <w:sz w:val="20"/>
          <w:szCs w:val="20"/>
        </w:rPr>
        <w:t xml:space="preserve">17. Kancheya N, Kazembe L, Muula AS. Factors associated with maternal health care utilisation in peri-urban Malawi. Malawi Med J. 2021;33:123–129.</w:t>
      </w:r>
    </w:p>
    <w:p>
      <w:pPr>
        <w:spacing w:after="60" w:before="60"/>
        <w:ind w:left="360" w:hanging="360"/>
      </w:pPr>
      <w:r>
        <w:rPr>
          <w:rFonts w:ascii="Times New Roman" w:cs="Times New Roman" w:eastAsia="Times New Roman" w:hAnsi="Times New Roman"/>
          <w:sz w:val="20"/>
          <w:szCs w:val="20"/>
        </w:rPr>
        <w:t xml:space="preserve">18. Chandra-Mouli V, et al. WHO guidelines on preventing early pregnancy in developing countries. J Adolesc Health. 2013;52:517–522.</w:t>
      </w:r>
    </w:p>
    <w:p>
      <w:pPr>
        <w:spacing w:after="60" w:before="60"/>
        <w:ind w:left="360" w:hanging="360"/>
      </w:pPr>
      <w:r>
        <w:rPr>
          <w:rFonts w:ascii="Times New Roman" w:cs="Times New Roman" w:eastAsia="Times New Roman" w:hAnsi="Times New Roman"/>
          <w:sz w:val="20"/>
          <w:szCs w:val="20"/>
        </w:rPr>
        <w:t xml:space="preserve">19. Blanco-Zuñiga J, et al. Barriers and facilitators of maternal health services by adolescents in LMICs. Glob Health Sci Pract. 2021;9:441–455.</w:t>
      </w:r>
    </w:p>
    <w:p>
      <w:pPr>
        <w:spacing w:after="60" w:before="60"/>
        <w:ind w:left="360" w:hanging="360"/>
      </w:pPr>
      <w:r>
        <w:rPr>
          <w:rFonts w:ascii="Times New Roman" w:cs="Times New Roman" w:eastAsia="Times New Roman" w:hAnsi="Times New Roman"/>
          <w:sz w:val="20"/>
          <w:szCs w:val="20"/>
        </w:rPr>
        <w:t xml:space="preserve">20. Salam RA, et al. Interventions to improve adolescent nutrition. J Adolesc Health. 2016;59:S29–S39.</w:t>
      </w:r>
    </w:p>
    <w:p>
      <w:pPr>
        <w:spacing w:after="60" w:before="60"/>
        <w:ind w:left="360" w:hanging="360"/>
      </w:pPr>
      <w:r>
        <w:rPr>
          <w:rFonts w:ascii="Times New Roman" w:cs="Times New Roman" w:eastAsia="Times New Roman" w:hAnsi="Times New Roman"/>
          <w:sz w:val="20"/>
          <w:szCs w:val="20"/>
        </w:rPr>
        <w:t xml:space="preserve">21. Owusu-Addo E, et al. Impact of cash transfers on social determinants of health in sub-Saharan Africa. Health Policy Plan. 2018;33:675–696.</w:t>
      </w:r>
    </w:p>
    <w:p>
      <w:pPr>
        <w:spacing w:after="60" w:before="60"/>
        <w:ind w:left="360" w:hanging="360"/>
      </w:pPr>
      <w:r>
        <w:rPr>
          <w:rFonts w:ascii="Times New Roman" w:cs="Times New Roman" w:eastAsia="Times New Roman" w:hAnsi="Times New Roman"/>
          <w:sz w:val="20"/>
          <w:szCs w:val="20"/>
        </w:rPr>
        <w:t xml:space="preserve">22. Kruk ME, et al. High-quality health systems in the SDGs era. Lancet Glob Health. 2018;6:e1196–e1252.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tabs>
        <w:tab w:val="right" w:pos="9360"/>
      </w:tabs>
    </w:pPr>
    <w:r>
      <w:rPr>
        <w:rFonts w:ascii="Times New Roman" w:cs="Times New Roman" w:eastAsia="Times New Roman" w:hAnsi="Times New Roman"/>
        <w:i/>
        <w:iCs/>
        <w:color w:val="666666"/>
        <w:sz w:val="18"/>
        <w:szCs w:val="18"/>
      </w:rPr>
      <w:t xml:space="preserve">Maternal care utilisation clusters in Malawi: 2015 vs 2024</w:t>
    </w:r>
    <w:r>
      <w:rPr>
        <w:sz w:val="18"/>
        <w:szCs w:val="18"/>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320978ac6462d5cd85b85e1a29990986aea23fc.png"/><Relationship Id="rId9" Type="http://schemas.openxmlformats.org/officeDocument/2006/relationships/image" Target="media/1b6b8c0a7f1966b8a99f37d14aa4141bdb98df08.png"/><Relationship Id="rId10" Type="http://schemas.openxmlformats.org/officeDocument/2006/relationships/image" Target="media/6fd296fc6e61cba53ea9a76b3e3a89162e50a92b.png"/><Relationship Id="rId11" Type="http://schemas.openxmlformats.org/officeDocument/2006/relationships/image" Target="media/873842389736f4f48b570785fbfa047f80d72c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2026-03-12T19:29:15.097Z</dcterms:created>
  <dcterms:modified xsi:type="dcterms:W3CDTF">2026-03-12T19:29:15.103Z</dcterms:modified>
</cp:coreProperties>
</file>

<file path=docProps/custom.xml><?xml version="1.0" encoding="utf-8"?>
<Properties xmlns="http://schemas.openxmlformats.org/officeDocument/2006/custom-properties" xmlns:vt="http://schemas.openxmlformats.org/officeDocument/2006/docPropsVTypes"/>
</file>