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Companion de la plénière FY27 — matière d'analyse, angles morts et script oral</w:t>
      </w:r>
    </w:p>
    <w:p>
      <w:r>
        <w:rPr>
          <w:i/>
          <w:color w:val="5C6675"/>
          <w:sz w:val="25"/>
        </w:rPr>
        <w:t>Matière d'analyse par slide · ce qui manque dans le support · script oral (slides 31-34)</w:t>
      </w:r>
    </w:p>
    <w:p>
      <w:r>
        <w:rPr>
          <w:color w:val="5C6675"/>
          <w:sz w:val="20"/>
        </w:rPr>
        <w:t>Octo Technology — usage interne · 22 septembre 2026 · appui à la préparation de la plénière</w:t>
      </w:r>
    </w:p>
    <w:p>
      <w:pPr>
        <w:pBdr>
          <w:bottom w:val="single" w:sz="8" w:space="1" w:color="C8971D"/>
        </w:pBdr>
      </w:pPr>
    </w:p>
    <w:p/>
    <w:p>
      <w:r>
        <w:fldChar w:fldCharType="begin"/>
        <w:instrText xml:space="preserve">TOC \o "1-2" \h \z \u</w:instrText>
        <w:fldChar w:fldCharType="separate"/>
        <w:t>Sommaire — clic droit puis « Mettre à jour les champs ».</w:t>
        <w:fldChar w:fldCharType="end"/>
      </w:r>
    </w:p>
    <w:p>
      <w:r>
        <w:t>*Document d'accompagnement de la trame du DG (41 slides, thème « évolution / Pokémon »). Il fait le pont entre la présentation et notre étude détaillée « Le secteur des ESN : des forces au repositionnement » (v3). Objectif : donner à celui qui prépare et à celui qui parle, pour chaque slide, les chiffres sourcés, les formulations qui portent, et le lien explicite avec le fil rouge de l'étude (Forces 1.x → Constats 2.x → Déductions 3.x → Positionnement 4.x). Puis pointer ce qui manque au deck. Puis fournir un script parlé pour l'Ambition 4.*</w:t>
      </w:r>
    </w:p>
    <w:p>
      <w:r>
        <w:t>*Convention de renvoi : « ← Force 1.2 », « ← Constat 2.5 », « ← Déduction 3.1 », « ← Positionnement 4.1 ». Les six règles de l'étude sont notées R1 à R6.*</w:t>
      </w:r>
    </w:p>
    <w:p>
      <w:pPr>
        <w:pStyle w:val="Heading1"/>
      </w:pPr>
      <w:r>
        <w:t>Partie A — Companion slide par slide</w:t>
      </w:r>
    </w:p>
    <w:p>
      <w:pPr>
        <w:pStyle w:val="Heading2"/>
      </w:pPr>
      <w:r>
        <w:t>Slide 1 — Intro</w:t>
      </w:r>
    </w:p>
    <w:p>
      <w:pPr>
        <w:pStyle w:val="ListBullet"/>
      </w:pPr>
      <w:r>
        <w:t>Slide de lancement, thème évolution. Rien à charger.</w:t>
      </w:r>
    </w:p>
    <w:p>
      <w:pPr>
        <w:pStyle w:val="ListBullet"/>
      </w:pPr>
      <w:r>
        <w:t xml:space="preserve">Une seule idée à planter d'emblée si besoin d'une accroche chiffrée : </w:t>
      </w:r>
      <w:r>
        <w:rPr>
          <w:b/>
        </w:rPr>
        <w:t>la dépense IT mondiale n'a jamais autant crû (+14,2 %, 6 370 Md$ en 2026)</w:t>
      </w:r>
      <w:r>
        <w:t xml:space="preserve"> alors que </w:t>
      </w:r>
      <w:r>
        <w:rPr>
          <w:b/>
        </w:rPr>
        <w:t>les ESN françaises reculent (−1,8 %, 34,3 Md€)</w:t>
      </w:r>
      <w:r>
        <w:t xml:space="preserve"> — tout le paradoxe de l'année tient dans cet écart (Gartner juil. 2026 ; Numeum déc. 2025).</w:t>
      </w:r>
    </w:p>
    <w:p>
      <w:pPr>
        <w:pStyle w:val="ListBullet"/>
      </w:pPr>
      <w:r>
        <w:t>*Lien fil rouge : c'est l'« essentiel » de l'étude, porte d'entrée vers ← Constat 2.1.*</w:t>
      </w:r>
    </w:p>
    <w:p>
      <w:pPr>
        <w:pStyle w:val="Heading2"/>
      </w:pPr>
      <w:r>
        <w:t>Slide 2 — Flashback FY26</w:t>
      </w:r>
    </w:p>
    <w:p>
      <w:pPr>
        <w:pStyle w:val="ListBullet"/>
      </w:pPr>
      <w:r>
        <w:t>Slide de transition. Bref.</w:t>
      </w:r>
    </w:p>
    <w:p>
      <w:pPr>
        <w:pStyle w:val="ListBullet"/>
      </w:pPr>
      <w:r>
        <w:t xml:space="preserve">Cadre de lecture utile : FY26 est l'année où </w:t>
      </w:r>
      <w:r>
        <w:rPr>
          <w:b/>
        </w:rPr>
        <w:t>les gains de productivité IA sont devenus mesurables dans les services eux-mêmes</w:t>
      </w:r>
      <w:r>
        <w:t xml:space="preserve"> (15 % en 2025, 22,3 % attendus en 2027 pour les ESN — Numeum/KPMG oct. 2025). C'est le basculement qui rend « la même recette » caduque (annonce le slide 8).</w:t>
      </w:r>
    </w:p>
    <w:p>
      <w:pPr>
        <w:pStyle w:val="ListBullet"/>
      </w:pPr>
      <w:r>
        <w:t>*Lien fil rouge : ← Force 1.1 (R1).*</w:t>
      </w:r>
    </w:p>
    <w:p>
      <w:pPr>
        <w:pStyle w:val="Heading2"/>
      </w:pPr>
      <w:r>
        <w:t>Slide 3 — Bilan Marché (CA 117/117 M€, flagships, 1ères missions AI-native)</w:t>
      </w:r>
    </w:p>
    <w:p>
      <w:pPr>
        <w:pStyle w:val="ListBullet"/>
      </w:pPr>
      <w:r>
        <w:rPr>
          <w:b/>
        </w:rPr>
        <w:t>Matière d'analyse à intégrer :</w:t>
      </w:r>
    </w:p>
    <w:p>
      <w:pPr>
        <w:pStyle w:val="ListBullet2"/>
      </w:pPr>
      <w:r>
        <w:t xml:space="preserve">Le marché de référence d'Octo est doublement sous pression : </w:t>
      </w:r>
      <w:r>
        <w:rPr>
          <w:b/>
        </w:rPr>
        <w:t>ESN françaises −1,8 % (34,3 Md€)</w:t>
      </w:r>
      <w:r>
        <w:t xml:space="preserve"> et </w:t>
      </w:r>
      <w:r>
        <w:rPr>
          <w:b/>
        </w:rPr>
        <w:t>conseil en technologies −2,5 % (7,7 Md€)</w:t>
      </w:r>
      <w:r>
        <w:t xml:space="preserve"> en 2025 — </w:t>
      </w:r>
      <w:r>
        <w:rPr>
          <w:b/>
        </w:rPr>
        <w:t>première baisse d'activité des ESN françaises depuis plus de dix ans</w:t>
      </w:r>
      <w:r>
        <w:t>, touchant en priorité les grandes structures (Numeum déc. 2025 ; IT for Business).</w:t>
      </w:r>
    </w:p>
    <w:p>
      <w:pPr>
        <w:pStyle w:val="ListBullet2"/>
      </w:pPr>
      <w:r>
        <w:t xml:space="preserve">Les missions AI-native (RTE, Europcar, Premium) sont exactement le segment qui </w:t>
      </w:r>
      <w:r>
        <w:rPr>
          <w:b/>
        </w:rPr>
        <w:t>croît</w:t>
      </w:r>
      <w:r>
        <w:t xml:space="preserve"> dans un marché à deux vitesses, quand le travail au temps banalisé stagne (← Constat 2.1).</w:t>
      </w:r>
    </w:p>
    <w:p>
      <w:pPr>
        <w:pStyle w:val="ListBullet2"/>
      </w:pPr>
      <w:r>
        <w:t>Le retour du Conseil (« CoCo ») est cohérent avec la bascule de valeur vers l'immatériel : ce qui se vend, c'est la méthode et le cadrage, pas l'exécution que l'IA banalise (← Déduction 3.5).</w:t>
      </w:r>
    </w:p>
    <w:p>
      <w:pPr>
        <w:pStyle w:val="ListBullet2"/>
      </w:pPr>
      <w:r>
        <w:t xml:space="preserve">À tenir : atterrir à </w:t>
      </w:r>
      <w:r>
        <w:rPr>
          <w:b/>
        </w:rPr>
        <w:t>117 M€</w:t>
      </w:r>
      <w:r>
        <w:t xml:space="preserve"> dans un marché en recul, c'est déjà surperformer le marché (−1,8 %).</w:t>
      </w:r>
    </w:p>
    <w:p>
      <w:pPr>
        <w:pStyle w:val="ListBullet"/>
      </w:pPr>
      <w:r>
        <w:t>*Lien fil rouge : ← Constat 2.1 (marché à deux vitesses, R1), ← Déduction 3.5.*</w:t>
      </w:r>
    </w:p>
    <w:p>
      <w:pPr>
        <w:pStyle w:val="Heading2"/>
      </w:pPr>
      <w:r>
        <w:t>Slide 4 — Bilan Ambitions (Tech trends &amp; confs, IA pour tous, partenariats FR Cloud/IA, à continuer : vente à la valeur)</w:t>
      </w:r>
    </w:p>
    <w:p>
      <w:pPr>
        <w:pStyle w:val="ListBullet"/>
      </w:pPr>
      <w:r>
        <w:rPr>
          <w:b/>
        </w:rPr>
        <w:t>Matière d'analyse à intégrer :</w:t>
      </w:r>
    </w:p>
    <w:p>
      <w:pPr>
        <w:pStyle w:val="ListBullet2"/>
      </w:pPr>
      <w:r>
        <w:t xml:space="preserve">« IA pour tous les Octos » répond au vrai facteur limitant du marché : </w:t>
      </w:r>
      <w:r>
        <w:rPr>
          <w:b/>
        </w:rPr>
        <w:t>le blocage est organisationnel, pas technologique</w:t>
      </w:r>
      <w:r>
        <w:t xml:space="preserve"> — 95 % des pilotes GenAI sans impact P&amp;L mesurable (MIT), « 20 % d'algorithmes, 80 % de rewiring organisationnel » (McKinsey State of AI 2025).</w:t>
      </w:r>
    </w:p>
    <w:p>
      <w:pPr>
        <w:pStyle w:val="ListBullet2"/>
      </w:pPr>
      <w:r>
        <w:t xml:space="preserve">Les partenariats FR Cloud/IA préfigurent le rôle de </w:t>
      </w:r>
      <w:r>
        <w:rPr>
          <w:b/>
        </w:rPr>
        <w:t>builder-opérateur / resell</w:t>
      </w:r>
      <w:r>
        <w:t xml:space="preserve"> (← Positionnement 4.3) et l'offre de souveraineté (← Positionnement 4.2).</w:t>
      </w:r>
    </w:p>
    <w:p>
      <w:pPr>
        <w:pStyle w:val="ListBullet2"/>
      </w:pPr>
      <w:r>
        <w:t xml:space="preserve">« À continuer : vente à la valeur » est LE fil qui irrigue tout le deck (Ambition 4) — l'étude en fait le pivot : </w:t>
      </w:r>
      <w:r>
        <w:rPr>
          <w:b/>
        </w:rPr>
        <w:t>le modèle au temps a atteint son plafond</w:t>
      </w:r>
      <w:r>
        <w:t xml:space="preserve"> (← Déduction 3.1).</w:t>
      </w:r>
    </w:p>
    <w:p>
      <w:pPr>
        <w:pStyle w:val="ListBullet"/>
      </w:pPr>
      <w:r>
        <w:t>*Lien fil rouge : ← Constat 2.5 (R3), ← Déduction 3.1, ← Positionnement 4.2 &amp; 4.3.*</w:t>
      </w:r>
    </w:p>
    <w:p>
      <w:pPr>
        <w:pStyle w:val="Heading2"/>
      </w:pPr>
      <w:r>
        <w:t>Slide 5 — Bilan Cadre (appui à la vente MARKEX/BIZEX/OPEX, RSE &amp; business, Transformers, à continuer : orga secteurs, Tech Office)</w:t>
      </w:r>
    </w:p>
    <w:p>
      <w:pPr>
        <w:pStyle w:val="ListBullet"/>
      </w:pPr>
      <w:r>
        <w:rPr>
          <w:b/>
        </w:rPr>
        <w:t>Matière d'analyse à intégrer :</w:t>
      </w:r>
    </w:p>
    <w:p>
      <w:pPr>
        <w:pStyle w:val="ListBullet2"/>
      </w:pPr>
      <w:r>
        <w:t xml:space="preserve">Le programme Transformers et la montée en compétence de tous les Octos sont un atout structurel face au </w:t>
      </w:r>
      <w:r>
        <w:rPr>
          <w:b/>
        </w:rPr>
        <w:t>découplage effectifs/CA</w:t>
      </w:r>
      <w:r>
        <w:t xml:space="preserve"> (+35 % de CA par tête à effectifs quasi stables sur le classement OA500 2026) : la valeur vient de la compétence augmentée, pas du nombre de têtes.</w:t>
      </w:r>
    </w:p>
    <w:p>
      <w:pPr>
        <w:pStyle w:val="ListBullet2"/>
      </w:pPr>
      <w:r>
        <w:t xml:space="preserve">« Orga secteurs » est cohérent avec le constat que </w:t>
      </w:r>
      <w:r>
        <w:rPr>
          <w:b/>
        </w:rPr>
        <w:t>les clients butent sur l'organisation</w:t>
      </w:r>
      <w:r>
        <w:t xml:space="preserve"> : structurer par secteur, c'est vendre du rewiring métier, pas de la ressource générique (← Constat 2.5, ← Déduction 3.5).</w:t>
      </w:r>
    </w:p>
    <w:p>
      <w:pPr>
        <w:pStyle w:val="ListBullet"/>
      </w:pPr>
      <w:r>
        <w:t>*Lien fil rouge : ← Constat 2.2 (R2), ← Constat 2.5 (R3).*</w:t>
      </w:r>
    </w:p>
    <w:p>
      <w:pPr>
        <w:pStyle w:val="Heading2"/>
      </w:pPr>
      <w:r>
        <w:t>Slide 6 — Bilan Engagement (effectifs stabilisés, People Engagement/ARMO, RSE &amp; D&amp;I, plénière)</w:t>
      </w:r>
    </w:p>
    <w:p>
      <w:pPr>
        <w:pStyle w:val="ListBullet"/>
      </w:pPr>
      <w:r>
        <w:rPr>
          <w:b/>
        </w:rPr>
        <w:t>Matière d'analyse à intégrer :</w:t>
      </w:r>
    </w:p>
    <w:p>
      <w:pPr>
        <w:pStyle w:val="ListBullet2"/>
      </w:pPr>
      <w:r>
        <w:t xml:space="preserve">« Effectifs stabilisés » est un message fort à contextualiser : autour de nous, </w:t>
      </w:r>
      <w:r>
        <w:rPr>
          <w:b/>
        </w:rPr>
        <w:t>Capgemini lance jusqu'à 2 400 suppressions en France (~7 %)</w:t>
      </w:r>
      <w:r>
        <w:t>, Accenture a coupé ~11 000 postes (juin-août 2025), les cinq majors indiens −42 000 postes en deux ans (Le Monde Informatique ; CNBC ; Outlook Business). Stabiliser, c'est déjà se distinguer.</w:t>
      </w:r>
    </w:p>
    <w:p>
      <w:pPr>
        <w:pStyle w:val="ListBullet2"/>
      </w:pPr>
      <w:r>
        <w:t xml:space="preserve">Attention à ne pas amalgamer avec </w:t>
      </w:r>
      <w:r>
        <w:rPr>
          <w:b/>
        </w:rPr>
        <w:t>Atos</w:t>
      </w:r>
      <w:r>
        <w:t xml:space="preserve"> (fonte de 110 000 → objectif 60 000) : c'est une restructuration de dette, PAS un effet IA (La Revue du Digital).</w:t>
      </w:r>
    </w:p>
    <w:p>
      <w:pPr>
        <w:pStyle w:val="ListBullet"/>
      </w:pPr>
      <w:r>
        <w:t>*Lien fil rouge : ← Constat 2.2 (R2).*</w:t>
      </w:r>
    </w:p>
    <w:p>
      <w:pPr>
        <w:pStyle w:val="Heading2"/>
      </w:pPr>
      <w:r>
        <w:t>Slide 7 — Bonus FY26 ~1000 €</w:t>
      </w:r>
    </w:p>
    <w:p>
      <w:pPr>
        <w:pStyle w:val="ListBullet"/>
      </w:pPr>
      <w:r>
        <w:t>Slide factuel. Rien à charger d'analytique. Moment de reconnaissance ; enchaîner vite.</w:t>
      </w:r>
    </w:p>
    <w:p>
      <w:pPr>
        <w:pStyle w:val="Heading2"/>
      </w:pPr>
      <w:r>
        <w:t>Slide 8 — « On ne refera pas la même année avec la même recette »</w:t>
      </w:r>
    </w:p>
    <w:p>
      <w:pPr>
        <w:pStyle w:val="ListBullet"/>
      </w:pPr>
      <w:r>
        <w:rPr>
          <w:b/>
        </w:rPr>
        <w:t>Matière d'analyse à intégrer (une preuve suffit, percutante) :</w:t>
      </w:r>
    </w:p>
    <w:p>
      <w:pPr>
        <w:pStyle w:val="ListBullet2"/>
      </w:pPr>
      <w:r>
        <w:t xml:space="preserve">La recette « au temps » se retourne contre celui qui adopte l'IA : </w:t>
      </w:r>
      <w:r>
        <w:rPr>
          <w:b/>
        </w:rPr>
        <w:t>un business plan facturé 20 000 € qui demandait 10-15 jours se boucle en 3 jours</w:t>
      </w:r>
      <w:r>
        <w:t xml:space="preserve"> — « ce n'est pas parce qu'on fait cinq fois plus vite qu'on va en vendre cinq fois plus » (Dabi-Schwebel, Alliancy sept. 2026).</w:t>
      </w:r>
    </w:p>
    <w:p>
      <w:pPr>
        <w:pStyle w:val="ListBullet2"/>
      </w:pPr>
      <w:r>
        <w:t xml:space="preserve">Formulation-pivot à réutiliser tout du long : </w:t>
      </w:r>
      <w:r>
        <w:rPr>
          <w:b/>
        </w:rPr>
        <w:t>la valeur a quitté le temps facturé pour aller au résultat</w:t>
      </w:r>
      <w:r>
        <w:t>.</w:t>
      </w:r>
    </w:p>
    <w:p>
      <w:pPr>
        <w:pStyle w:val="ListBullet"/>
      </w:pPr>
      <w:r>
        <w:t>*Lien fil rouge : ← Déduction 3.1 (R1). C'est la charnière qui ouvre les « 6 règles ».*</w:t>
      </w:r>
    </w:p>
    <w:p>
      <w:pPr>
        <w:pStyle w:val="Heading2"/>
      </w:pPr>
      <w:r>
        <w:t>Slide 9 — 2026 en 6 exemples (les 6 règles) — SLIDE RICHE</w:t>
      </w:r>
    </w:p>
    <w:p>
      <w:r>
        <w:t>*Le deck affirme les 6 règles ; l'étude les chiffre. Pour chaque règle, la preuve la plus solide, prête à l'oral.*</w:t>
      </w:r>
    </w:p>
    <w:p>
      <w:pPr>
        <w:pStyle w:val="ListBullet"/>
      </w:pPr>
      <w:r>
        <w:rPr>
          <w:b/>
        </w:rPr>
        <w:t>Règle 1 — Le marché a réévalué la valeur du temps humain (← Force 1.1 / R1)</w:t>
      </w:r>
    </w:p>
    <w:p>
      <w:pPr>
        <w:pStyle w:val="ListBullet2"/>
      </w:pPr>
      <w:r>
        <w:rPr>
          <w:b/>
        </w:rPr>
        <w:t>Gains de productivité IA des ESN : 15 % (2025) → 22,3 % (2027)</w:t>
      </w:r>
      <w:r>
        <w:t xml:space="preserve"> ; problème central : ces gains sont « difficiles à convertir en marge » (Numeum/KPMG oct. 2025).</w:t>
      </w:r>
    </w:p>
    <w:p>
      <w:pPr>
        <w:pStyle w:val="ListBullet2"/>
      </w:pPr>
      <w:r>
        <w:rPr>
          <w:b/>
        </w:rPr>
        <w:t>GitHub Copilot génère ~46 % du code</w:t>
      </w:r>
      <w:r>
        <w:t xml:space="preserve"> de ses utilisateurs (jusqu'à 61 % en Java), 15 M+ de développeurs, 90 % du Fortune 100 — mais ~30 % seulement du code suggéré est accepté (Index.dev ; Philipp Dubach). L'IA couvre ~80 % de la production type d'un analyste junior en conseil (Irish Times déc. 2025).</w:t>
      </w:r>
    </w:p>
    <w:p>
      <w:pPr>
        <w:pStyle w:val="ListBullet"/>
      </w:pPr>
      <w:r>
        <w:rPr>
          <w:b/>
        </w:rPr>
        <w:t>Règle 2 — Les métiers se brouillent, la pyramide se déforme (← Constat 2.2 / Déduction 3.3 / R2)</w:t>
      </w:r>
    </w:p>
    <w:p>
      <w:pPr>
        <w:pStyle w:val="ListBullet2"/>
      </w:pPr>
      <w:r>
        <w:rPr>
          <w:b/>
        </w:rPr>
        <w:t>+35 % de CA par tête</w:t>
      </w:r>
      <w:r>
        <w:t xml:space="preserve"> (88 700 → 119 700 $) à effectifs +&lt;1 % sur le classement OA500 2026 (Outsource Accelerator).</w:t>
      </w:r>
    </w:p>
    <w:p>
      <w:pPr>
        <w:pStyle w:val="ListBullet2"/>
      </w:pPr>
      <w:r>
        <w:t xml:space="preserve">Passage </w:t>
      </w:r>
      <w:r>
        <w:rPr>
          <w:b/>
        </w:rPr>
        <w:t>« de la pyramide au diamant »</w:t>
      </w:r>
      <w:r>
        <w:t xml:space="preserve"> (Gartner « From Pyramids to Diamonds ») ; embauche de freshers en Inde </w:t>
      </w:r>
      <w:r>
        <w:rPr>
          <w:b/>
        </w:rPr>
        <w:t>−80 % depuis le pic FY22</w:t>
      </w:r>
      <w:r>
        <w:t xml:space="preserve"> (~600 000 → ~120 000) ; profils &lt;2 ans d'expérience −44 % en un an (Outlook Business).</w:t>
      </w:r>
    </w:p>
    <w:p>
      <w:pPr>
        <w:pStyle w:val="ListBullet"/>
      </w:pPr>
      <w:r>
        <w:rPr>
          <w:b/>
        </w:rPr>
        <w:t>Règle 3 — Les clients butent sur l'orga plus que sur la tech (← Constat 2.5 / R3)</w:t>
      </w:r>
    </w:p>
    <w:p>
      <w:pPr>
        <w:pStyle w:val="ListBullet2"/>
      </w:pPr>
      <w:r>
        <w:rPr>
          <w:b/>
        </w:rPr>
        <w:t>95 % des pilotes GenAI sans impact P&amp;L mesurable</w:t>
      </w:r>
      <w:r>
        <w:t xml:space="preserve"> malgré 30-40 Md$ investis (MIT, « The GenAI Divide »).</w:t>
      </w:r>
    </w:p>
    <w:p>
      <w:pPr>
        <w:pStyle w:val="ListBullet2"/>
      </w:pPr>
      <w:r>
        <w:rPr>
          <w:b/>
        </w:rPr>
        <w:t>« 20 % d'algorithmes, 80 % de rewiring organisationnel »</w:t>
      </w:r>
      <w:r>
        <w:t xml:space="preserve"> ; 88 % des organisations utilisent l'IA, ~39 % seulement rapportent un impact au niveau du résultat, ~6 % un impact significatif à l'échelle de l'entreprise (McKinsey State of AI 2025). 60 % ne génèrent aucune valeur matérielle (BCG).</w:t>
      </w:r>
    </w:p>
    <w:p>
      <w:pPr>
        <w:pStyle w:val="ListBullet2"/>
      </w:pPr>
      <w:r>
        <w:t xml:space="preserve">Argument pro-Octo à manier honnêtement : les projets </w:t>
      </w:r>
      <w:r>
        <w:rPr>
          <w:b/>
        </w:rPr>
        <w:t>menés avec un partenaire externe réussissent ~2× mieux</w:t>
      </w:r>
      <w:r>
        <w:t xml:space="preserve"> que ceux bricolés en interne (MIT).</w:t>
      </w:r>
    </w:p>
    <w:p>
      <w:pPr>
        <w:pStyle w:val="ListBullet"/>
      </w:pPr>
      <w:r>
        <w:rPr>
          <w:b/>
        </w:rPr>
        <w:t>Règle 4 — La géopolitique est entrée dans la DSI (← Force 1.4 / R4)</w:t>
      </w:r>
    </w:p>
    <w:p>
      <w:pPr>
        <w:pStyle w:val="ListBullet2"/>
      </w:pPr>
      <w:r>
        <w:rPr>
          <w:b/>
        </w:rPr>
        <w:t>« Non, je ne peux pas le garantir »</w:t>
      </w:r>
      <w:r>
        <w:t xml:space="preserve"> : le directeur juridique de Microsoft France, sous serment devant le Sénat (10 juin 2025), sur la protection des données de l'État face au CLOUD Act (The Register ; compte rendu Sénat).</w:t>
      </w:r>
    </w:p>
    <w:p>
      <w:pPr>
        <w:pStyle w:val="ListBullet2"/>
      </w:pPr>
      <w:r>
        <w:rPr>
          <w:b/>
        </w:rPr>
        <w:t>83 % des ~400 Md€</w:t>
      </w:r>
      <w:r>
        <w:t xml:space="preserve"> de dépense cloud/logiciels pro européens vont à des acteurs US (Cigref) ; surcoût de la dépendance </w:t>
      </w:r>
      <w:r>
        <w:rPr>
          <w:b/>
        </w:rPr>
        <w:t>jusqu'à 140 Md€/an d'ici 2030</w:t>
      </w:r>
      <w:r>
        <w:t xml:space="preserve"> (Asterès-Cigref).</w:t>
      </w:r>
    </w:p>
    <w:p>
      <w:pPr>
        <w:pStyle w:val="ListBullet"/>
      </w:pPr>
      <w:r>
        <w:rPr>
          <w:b/>
        </w:rPr>
        <w:t>Règle 5 — Le GPU, ressource rare (← Force 1.2 / R5)</w:t>
      </w:r>
    </w:p>
    <w:p>
      <w:pPr>
        <w:pStyle w:val="ListBullet2"/>
      </w:pPr>
      <w:r>
        <w:rPr>
          <w:b/>
        </w:rPr>
        <w:t>Capex hyperscalers ~725 Md$ en 2026 (+77 %)</w:t>
      </w:r>
      <w:r>
        <w:t xml:space="preserve">, dont ~75 % pour l'infra IA (ValueAdd VC) ; </w:t>
      </w:r>
      <w:r>
        <w:rPr>
          <w:b/>
        </w:rPr>
        <w:t>location d'un GPU H100 +40 % en six mois</w:t>
      </w:r>
      <w:r>
        <w:t xml:space="preserve"> (1,70 → 2,35 $/h), capacité en rupture (SemiAnalysis).</w:t>
      </w:r>
    </w:p>
    <w:p>
      <w:pPr>
        <w:pStyle w:val="ListBullet2"/>
      </w:pPr>
      <w:r>
        <w:t xml:space="preserve">Paradoxe de Jevons : le </w:t>
      </w:r>
      <w:r>
        <w:rPr>
          <w:b/>
        </w:rPr>
        <w:t>prix par token a chuté de ~80 %</w:t>
      </w:r>
      <w:r>
        <w:t xml:space="preserve"> mais la facture explose (workflows agentiques = 10-20 appels/tâche) — budgéter sur le prix unitaire mène au dépassement (a16z « LLMflation »). Formule maison : </w:t>
      </w:r>
      <w:r>
        <w:rPr>
          <w:b/>
        </w:rPr>
        <w:t>« le GPU, c'est notre eau »</w:t>
      </w:r>
      <w:r>
        <w:t>.</w:t>
      </w:r>
    </w:p>
    <w:p>
      <w:pPr>
        <w:pStyle w:val="ListBullet"/>
      </w:pPr>
      <w:r>
        <w:rPr>
          <w:b/>
        </w:rPr>
        <w:t>Règle 6 — La surface d'attaque a changé de nature (← Force 1.5 / R6)</w:t>
      </w:r>
    </w:p>
    <w:p>
      <w:pPr>
        <w:pStyle w:val="ListBullet2"/>
      </w:pPr>
      <w:r>
        <w:rPr>
          <w:b/>
        </w:rPr>
        <w:t>Une IA a exécuté 80 à 90 % d'une campagne de cyberespionnage étatique de façon autonome</w:t>
      </w:r>
      <w:r>
        <w:t>, l'humain ne validant qu'en 2 à 10 minutes (Anthropic, 13 nov. 2025 — ampleur débattue, mais seuil symbolique franchi ; corroboré par Google GTIG sur des malwares qui interrogent un modèle en cours d'exécution).</w:t>
      </w:r>
    </w:p>
    <w:p>
      <w:pPr>
        <w:pStyle w:val="ListBullet2"/>
      </w:pPr>
      <w:r>
        <w:rPr>
          <w:b/>
        </w:rPr>
        <w:t>45 % du code « vibe-codé » introduit une vulnérabilité OWASP</w:t>
      </w:r>
      <w:r>
        <w:t xml:space="preserve"> ; les commits assistés par IA exposent des secrets 2× plus souvent (Veracode via OX Security). Le paquet `litellm` backdooré (~95 M téléchargements/mois) a exposé ~500 000 identifiants (Snyk ; Trend Micro mars 2026).</w:t>
      </w:r>
    </w:p>
    <w:p>
      <w:pPr>
        <w:pStyle w:val="ListBullet"/>
      </w:pPr>
      <w:r>
        <w:t>*Lien fil rouge : les 6 règles = Forces 1.1-1.5 + Déductions associées. C'est le cœur analytique du deck.*</w:t>
      </w:r>
    </w:p>
    <w:p>
      <w:pPr>
        <w:pStyle w:val="Heading2"/>
      </w:pPr>
      <w:r>
        <w:t>Slide 10 — Et proche de nous ? (Accenture ×1000 ; fin du modèle ETP×TACE×TJM ; orga 2022 pré-ChatGPT) — SLIDE RICHE</w:t>
      </w:r>
    </w:p>
    <w:p>
      <w:pPr>
        <w:pStyle w:val="ListBullet"/>
      </w:pPr>
      <w:r>
        <w:rPr>
          <w:b/>
        </w:rPr>
        <w:t>Matière d'analyse à intégrer :</w:t>
      </w:r>
    </w:p>
    <w:p>
      <w:pPr>
        <w:pStyle w:val="ListBullet2"/>
      </w:pPr>
      <w:r>
        <w:rPr>
          <w:b/>
        </w:rPr>
        <w:t>La mécanique du modèle traditionnel : CA = ETP × TACE × TJM.</w:t>
      </w:r>
      <w:r>
        <w:t xml:space="preserve"> Dans cette équation, un gain de productivité IA = moins de jours facturés à qualité égale = </w:t>
      </w:r>
      <w:r>
        <w:rPr>
          <w:b/>
        </w:rPr>
        <w:t>destruction de CA</w:t>
      </w:r>
      <w:r>
        <w:t>. C'est l'incitation perverse : le modèle au temps punit le prestataire vertueux qui adopte l'IA (← Déduction 3.1).</w:t>
      </w:r>
    </w:p>
    <w:p>
      <w:pPr>
        <w:pStyle w:val="ListBullet2"/>
      </w:pPr>
      <w:r>
        <w:rPr>
          <w:b/>
        </w:rPr>
        <w:t>L'analogie du taxi</w:t>
      </w:r>
      <w:r>
        <w:t xml:space="preserve"> (à réutiliser, elle marche très bien) : payer la course à la durée quand la voiture roule trois fois plus vite, c'est encaisser trois fois moins.</w:t>
      </w:r>
    </w:p>
    <w:p>
      <w:pPr>
        <w:pStyle w:val="ListBullet2"/>
      </w:pPr>
      <w:r>
        <w:t xml:space="preserve">Preuve que « ça nous percute vraiment » : </w:t>
      </w:r>
      <w:r>
        <w:rPr>
          <w:b/>
        </w:rPr>
        <w:t>35 % des ESN anticipent une baisse de marge opérationnelle au S1 2026</w:t>
      </w:r>
      <w:r>
        <w:t xml:space="preserve"> (Karanext) ; côté majors indiens, le patron de HCLTech parle de </w:t>
      </w:r>
      <w:r>
        <w:rPr>
          <w:b/>
        </w:rPr>
        <w:t>« déflation IA » abaissant le CA de 3-5 %</w:t>
      </w:r>
      <w:r>
        <w:t>, celui de TCS de « degrowth » (The Register avr. 2026).</w:t>
      </w:r>
    </w:p>
    <w:p>
      <w:pPr>
        <w:pStyle w:val="ListBullet2"/>
      </w:pPr>
      <w:r>
        <w:t xml:space="preserve">Sur « Accenture percuté ×1000 » : la maison mère opère elle-même le virage — </w:t>
      </w:r>
      <w:r>
        <w:rPr>
          <w:b/>
        </w:rPr>
        <w:t>~60 % de son travail en prix fixe</w:t>
      </w:r>
      <w:r>
        <w:t>, ~11,5 Md$ de bookings GenAI sur ~11 000 projets, réorganisation en une entité « Reinvention Services », ~11 000 postes coupés. Le groupe valide donc la thèse « vendre un résultat » (NB Accenture de l'étude).</w:t>
      </w:r>
    </w:p>
    <w:p>
      <w:pPr>
        <w:pStyle w:val="ListBullet2"/>
      </w:pPr>
      <w:r>
        <w:t>Sur « notre orga date de 2022, pré-ChatGPT » : ChatGPT est sorti fin nov. 2022 ; toute orga d'ESN pensée avant est structurée pour vendre du temps, pas du résultat.</w:t>
      </w:r>
    </w:p>
    <w:p>
      <w:pPr>
        <w:pStyle w:val="ListBullet2"/>
      </w:pPr>
      <w:r>
        <w:t xml:space="preserve">Sur les questionnements internes (« l'IA va prendre mon travail », « 2028 cap chez Accenture ») : répondre par l'angle mort du pipeline junior — </w:t>
      </w:r>
      <w:r>
        <w:rPr>
          <w:b/>
        </w:rPr>
        <w:t>« qui seront les seniors de demain s'ils n'ont pas été juniors aujourd'hui ? »</w:t>
      </w:r>
      <w:r>
        <w:t xml:space="preserve"> (← Déduction 3.3 / Positionnement 4.4).</w:t>
      </w:r>
    </w:p>
    <w:p>
      <w:pPr>
        <w:pStyle w:val="ListBullet"/>
      </w:pPr>
      <w:r>
        <w:t>*Lien fil rouge : ← Déduction 3.1 (R1), ← Déduction 3.3 (R2), NB Accenture.*</w:t>
      </w:r>
    </w:p>
    <w:p>
      <w:pPr>
        <w:pStyle w:val="Heading2"/>
      </w:pPr>
      <w:r>
        <w:t>Slides 11-12 — Positionnement : OCTO leader de la tech française, acteur d'utilité publique — SLIDE RICHE</w:t>
      </w:r>
    </w:p>
    <w:p>
      <w:pPr>
        <w:pStyle w:val="ListBullet"/>
      </w:pPr>
      <w:r>
        <w:rPr>
          <w:b/>
        </w:rPr>
        <w:t>Matière d'analyse à intégrer :</w:t>
      </w:r>
    </w:p>
    <w:p>
      <w:pPr>
        <w:pStyle w:val="ListBullet2"/>
      </w:pPr>
      <w:r>
        <w:t xml:space="preserve">Le positionnement « 2/3 public/santé/souverain » est un choix de marché structurellement porteur : la </w:t>
      </w:r>
      <w:r>
        <w:rPr>
          <w:b/>
        </w:rPr>
        <w:t>dépense en cloud souverain européen croît de +83 %</w:t>
      </w:r>
      <w:r>
        <w:t xml:space="preserve"> (base 6,9 Md€ en 2025) quand les services au temps reculent (Computerworld).</w:t>
      </w:r>
    </w:p>
    <w:p>
      <w:pPr>
        <w:pStyle w:val="ListBullet2"/>
      </w:pPr>
      <w:r>
        <w:t xml:space="preserve">La souveraineté n'est plus un thème mais </w:t>
      </w:r>
      <w:r>
        <w:rPr>
          <w:b/>
        </w:rPr>
        <w:t>un critère d'achat</w:t>
      </w:r>
      <w:r>
        <w:t xml:space="preserve"> : </w:t>
      </w:r>
      <w:r>
        <w:rPr>
          <w:b/>
        </w:rPr>
        <w:t>61 % des DSI d'Europe de l'Ouest</w:t>
      </w:r>
      <w:r>
        <w:t xml:space="preserve"> comptent déplacer des charges vers des fournisseurs locaux/régionaux pour raisons géopolitiques (Computerworld) ; </w:t>
      </w:r>
      <w:r>
        <w:rPr>
          <w:b/>
        </w:rPr>
        <w:t>42 % des ESN accompagnent déjà des projets de souveraineté</w:t>
      </w:r>
      <w:r>
        <w:t xml:space="preserve"> (panier moyen 100-150 k€, Numeum).</w:t>
      </w:r>
    </w:p>
    <w:p>
      <w:pPr>
        <w:pStyle w:val="ListBullet2"/>
      </w:pPr>
      <w:r>
        <w:t xml:space="preserve">« Sobre » et « FR/EU quand il le faut » : cadrer la souveraineté en </w:t>
      </w:r>
      <w:r>
        <w:rPr>
          <w:b/>
        </w:rPr>
        <w:t>prime d'assurance calibrée (surcoût 10-30 %)</w:t>
      </w:r>
      <w:r>
        <w:t>, pas en absolu hors de prix (Devoteam) — cohérent avec le message FY27 « juste le nécessaire ».</w:t>
      </w:r>
    </w:p>
    <w:p>
      <w:pPr>
        <w:pStyle w:val="ListBullet2"/>
      </w:pPr>
      <w:r>
        <w:t xml:space="preserve">Calendrier qui durcit le paramètre : </w:t>
      </w:r>
      <w:r>
        <w:rPr>
          <w:b/>
        </w:rPr>
        <w:t>pouvoirs de sanction de l'EU AI Act applicables le 2 août 2026</w:t>
      </w:r>
      <w:r>
        <w:t xml:space="preserve"> (euaiact.com).</w:t>
      </w:r>
    </w:p>
    <w:p>
      <w:pPr>
        <w:pStyle w:val="ListBullet2"/>
      </w:pPr>
      <w:r>
        <w:t xml:space="preserve">Point de vérité à assumer (voir aussi Partie B) : Octo vend de la souveraineté </w:t>
      </w:r>
      <w:r>
        <w:rPr>
          <w:b/>
        </w:rPr>
        <w:t>française en étant filiale d'un groupe coté à New York et soumis au CLOUD Act</w:t>
      </w:r>
      <w:r>
        <w:t xml:space="preserve"> — jouer la </w:t>
      </w:r>
      <w:r>
        <w:rPr>
          <w:b/>
        </w:rPr>
        <w:t>souveraineté opérationnelle</w:t>
      </w:r>
      <w:r>
        <w:t xml:space="preserve"> (données résidentes et opérées en UE), sans revendiquer la souveraineté juridique/capitalistique (NB Accenture).</w:t>
      </w:r>
    </w:p>
    <w:p>
      <w:pPr>
        <w:pStyle w:val="ListBullet"/>
      </w:pPr>
      <w:r>
        <w:t>*Lien fil rouge : ← Force 1.4 (R4), ← Constat 2.1, ← Positionnement 4.2.*</w:t>
      </w:r>
    </w:p>
    <w:p>
      <w:pPr>
        <w:pStyle w:val="Heading2"/>
      </w:pPr>
      <w:r>
        <w:t>Slide 13 — Manifeste (Artisans de la Tech, Force du collectif, Best place to grow, Engagement³)</w:t>
      </w:r>
    </w:p>
    <w:p>
      <w:pPr>
        <w:pStyle w:val="ListBullet"/>
      </w:pPr>
      <w:r>
        <w:rPr>
          <w:b/>
        </w:rPr>
        <w:t>Matière d'analyse à intégrer :</w:t>
      </w:r>
    </w:p>
    <w:p>
      <w:pPr>
        <w:pStyle w:val="ListBullet2"/>
      </w:pPr>
      <w:r>
        <w:t xml:space="preserve">« Best place to grow » se branche directement sur l'angle mort le plus stratégique : </w:t>
      </w:r>
      <w:r>
        <w:rPr>
          <w:b/>
        </w:rPr>
        <w:t>savoir fabriquer des seniors quand tout le monde coupe l'entrée de gamme devient un avantage concurrentiel rare</w:t>
      </w:r>
      <w:r>
        <w:t xml:space="preserve"> (← Déduction 3.3 / Positionnement 4.4). Un tiers des responsables talents constatent déjà une réduction des tâches de formation « entry-level » sous l'effet de l'IA (McKinsey mars 2026).</w:t>
      </w:r>
    </w:p>
    <w:p>
      <w:pPr>
        <w:pStyle w:val="ListBullet2"/>
      </w:pPr>
      <w:r>
        <w:t xml:space="preserve">« Artisans de la Tech » (craftsmanship) est l'antidote crédible à la dette de sécurité du code IA : </w:t>
      </w:r>
      <w:r>
        <w:rPr>
          <w:b/>
        </w:rPr>
        <w:t>45 % du code vibe-codé est vulnérable</w:t>
      </w:r>
      <w:r>
        <w:t xml:space="preserve"> — la revue humaine senior devient un différenciateur de confiance, pas une contrainte (← Force 1.5 / Positionnement 4.1).</w:t>
      </w:r>
    </w:p>
    <w:p>
      <w:pPr>
        <w:pStyle w:val="ListBullet"/>
      </w:pPr>
      <w:r>
        <w:t>*Lien fil rouge : ← Déduction 3.3 (R2), ← Force 1.5 (R6), ← Positionnement 4.4 &amp; 4.1.*</w:t>
      </w:r>
    </w:p>
    <w:p>
      <w:pPr>
        <w:pStyle w:val="Heading2"/>
      </w:pPr>
      <w:r>
        <w:t>Slide 14 — « Faire grandir OCTO sans compter en jours »</w:t>
      </w:r>
    </w:p>
    <w:p>
      <w:pPr>
        <w:pStyle w:val="ListBullet"/>
      </w:pPr>
      <w:r>
        <w:rPr>
          <w:b/>
        </w:rPr>
        <w:t>Matière d'analyse à intégrer (le slogan = la thèse de l'étude en cinq mots) :</w:t>
      </w:r>
    </w:p>
    <w:p>
      <w:pPr>
        <w:pStyle w:val="ListBullet2"/>
      </w:pPr>
      <w:r>
        <w:t xml:space="preserve">« Sans compter en jours » = sortir de CA = ETP × TACE × TJM. Le président du collège ESN de Numeum le dit sans détour : </w:t>
      </w:r>
      <w:r>
        <w:rPr>
          <w:b/>
        </w:rPr>
        <w:t>« les clients n'achètent plus du temps… ils achètent des résultats »</w:t>
      </w:r>
      <w:r>
        <w:t xml:space="preserve"> (Silicon.fr).</w:t>
      </w:r>
    </w:p>
    <w:p>
      <w:pPr>
        <w:pStyle w:val="ListBullet2"/>
      </w:pPr>
      <w:r>
        <w:t xml:space="preserve">Nuance de crédibilité à garder en tête (elle protège du survendu) : </w:t>
      </w:r>
      <w:r>
        <w:rPr>
          <w:b/>
        </w:rPr>
        <w:t>62,2 % des acheteurs préfèrent encore le forfait, 9,1 % seulement le résultat</w:t>
      </w:r>
      <w:r>
        <w:t xml:space="preserve"> (IDC mars 2026, 656 acheteurs) — l'écart ne se resserre que chez les clients IA-matures (résultat 23 % / forfait 27 % / temps 25 %).</w:t>
      </w:r>
    </w:p>
    <w:p>
      <w:pPr>
        <w:pStyle w:val="ListBullet"/>
      </w:pPr>
      <w:r>
        <w:t>*Lien fil rouge : ← Déduction 3.1 &amp; 3.2 (R1).*</w:t>
      </w:r>
    </w:p>
    <w:p>
      <w:pPr>
        <w:pStyle w:val="Heading2"/>
      </w:pPr>
      <w:r>
        <w:t>Slides 15 — Les 4 ambitions (Nous / Nous ensemble / Nos clients / Notre marché)</w:t>
      </w:r>
    </w:p>
    <w:p>
      <w:pPr>
        <w:pStyle w:val="ListBullet"/>
      </w:pPr>
      <w:r>
        <w:t>Slide de structure. Bref. Chaque ambition mappe une déduction : Ambition 1 (outiller/former) ↔ 3.5 ; Ambition 2 (entreprendre) ↔ 3.4 &amp; 3.6 ; Ambition 3 (clients maîtres de leur tech) ↔ 3.5 &amp; 3.6 ; Ambition 4 (au résultat) ↔ 3.1 &amp; 3.2.</w:t>
      </w:r>
    </w:p>
    <w:p>
      <w:pPr>
        <w:pStyle w:val="Heading2"/>
      </w:pPr>
      <w:r>
        <w:t>Slides 16-20 — Ambition 1 : Outiller et former</w:t>
      </w:r>
    </w:p>
    <w:p>
      <w:pPr>
        <w:pStyle w:val="ListBullet"/>
      </w:pPr>
      <w:r>
        <w:rPr>
          <w:b/>
        </w:rPr>
        <w:t>Matière d'analyse à intégrer :</w:t>
      </w:r>
    </w:p>
    <w:p>
      <w:pPr>
        <w:pStyle w:val="ListBullet2"/>
      </w:pPr>
      <w:r>
        <w:t>Slide 17 (plateforme DevEx pour tous) : le facteur limitant du marché n'est pas le modèle, c'est l'</w:t>
      </w:r>
      <w:r>
        <w:rPr>
          <w:b/>
        </w:rPr>
        <w:t>intégration/le rewiring</w:t>
      </w:r>
      <w:r>
        <w:t xml:space="preserve"> — outiller tous les Octos attaque directement le « 80 % organisationnel » (McKinsey). C'est aussi la parade au </w:t>
      </w:r>
      <w:r>
        <w:rPr>
          <w:b/>
        </w:rPr>
        <w:t>shadow IA</w:t>
      </w:r>
      <w:r>
        <w:t xml:space="preserve"> : 90 % des salariés utilisent des outils IA perso, 40 % seulement des entreprises ont un abonnement officiel, 57 % des utilisateurs y saisissent des données sensibles (MIT ; Airia 2026) — une plateforme interne outillée est aussi un geste de sécurité.</w:t>
      </w:r>
    </w:p>
    <w:p>
      <w:pPr>
        <w:pStyle w:val="ListBullet2"/>
      </w:pPr>
      <w:r>
        <w:t xml:space="preserve">Slide 18 (« ranger la chambre » = patrimoine de connaissance en actif) : c'est précisément la </w:t>
      </w:r>
      <w:r>
        <w:rPr>
          <w:b/>
        </w:rPr>
        <w:t>bascule de la valeur vers l'immatériel</w:t>
      </w:r>
      <w:r>
        <w:t xml:space="preserve"> — méthode + actifs réutilisables (accélérateurs, agents packagés) battent le « service seul » (← Déduction 3.5). Transformer le savoir en actif, c'est le préalable pour vendre au forfait sans sous-marger (← Déduction 3.2).</w:t>
      </w:r>
    </w:p>
    <w:p>
      <w:pPr>
        <w:pStyle w:val="ListBullet2"/>
      </w:pPr>
      <w:r>
        <w:t xml:space="preserve">Slide 19 (OCTO Academy, acteur formation du groupe) : à relier au plan de reskilling </w:t>
      </w:r>
      <w:r>
        <w:rPr>
          <w:b/>
        </w:rPr>
        <w:t>~1 Md$ (LearnVantage), 550 000 personnes déjà formées à la GenAI</w:t>
      </w:r>
      <w:r>
        <w:t xml:space="preserve"> côté Accenture (NB Accenture) — Octo Academy peut s'y adosser.</w:t>
      </w:r>
    </w:p>
    <w:p>
      <w:pPr>
        <w:pStyle w:val="ListBullet"/>
      </w:pPr>
      <w:r>
        <w:t>*Lien fil rouge : ← Constat 2.5 (R3), ← Déduction 3.5, ← Force 1.5 (shadow IA).*</w:t>
      </w:r>
    </w:p>
    <w:p>
      <w:pPr>
        <w:pStyle w:val="Heading2"/>
      </w:pPr>
      <w:r>
        <w:t>Slides 21-25 — Ambition 2 : Réveiller l'esprit d'entreprendre</w:t>
      </w:r>
    </w:p>
    <w:p>
      <w:pPr>
        <w:pStyle w:val="ListBullet"/>
      </w:pPr>
      <w:r>
        <w:rPr>
          <w:b/>
        </w:rPr>
        <w:t>Matière d'analyse à intégrer :</w:t>
      </w:r>
    </w:p>
    <w:p>
      <w:pPr>
        <w:pStyle w:val="ListBullet2"/>
      </w:pPr>
      <w:r>
        <w:t xml:space="preserve">Slide 22 (espace à idées / Tech Office) : cohérent avec le rebattage du </w:t>
      </w:r>
      <w:r>
        <w:rPr>
          <w:b/>
        </w:rPr>
        <w:t>build vs buy</w:t>
      </w:r>
      <w:r>
        <w:t xml:space="preserve"> — l'IA abaisse le coût de construire (</w:t>
      </w:r>
      <w:r>
        <w:rPr>
          <w:b/>
        </w:rPr>
        <w:t>35 % des équipes ont déjà remplacé un SaaS par du sur-mesure, 78 % prévoient de construire davantage</w:t>
      </w:r>
      <w:r>
        <w:t xml:space="preserve"> ; un outil à ~10 mois/100 k$ tombe à ~3 mois/25-40 k$, Retool 2026). Un Tech Office qui incube des produits/accélérateurs, c'est la réponse « productiser » (← Déduction 3.6 / Positionnement 4.3).</w:t>
      </w:r>
    </w:p>
    <w:p>
      <w:pPr>
        <w:pStyle w:val="ListBullet2"/>
      </w:pPr>
      <w:r>
        <w:t xml:space="preserve">Slide 23 (~2 impact teams : Tech Resilience &amp; AI-Native Delivery) : les deux thèmes sont exactement les segments qui </w:t>
      </w:r>
      <w:r>
        <w:rPr>
          <w:b/>
        </w:rPr>
        <w:t>croissent</w:t>
      </w:r>
      <w:r>
        <w:t xml:space="preserve"> — sécurité/résilience (marché DevSecOps ~8,8 Md$ 2024 → ~20 Md$ 2030) et delivery IA-native (← Force 1.5, ← Positionnement 4.1).</w:t>
      </w:r>
    </w:p>
    <w:p>
      <w:pPr>
        <w:pStyle w:val="ListBullet2"/>
      </w:pPr>
      <w:r>
        <w:t>Slide 24 (métiers de demain, fidélisation) : à brancher sur l'angle mort junior (← Déduction 3.3) et la déformation pyramide → diamant.</w:t>
      </w:r>
    </w:p>
    <w:p>
      <w:pPr>
        <w:pStyle w:val="ListBullet"/>
      </w:pPr>
      <w:r>
        <w:t>*Lien fil rouge : ← Déduction 3.6 (R2), ← Force 1.5 (R6), ← Positionnement 4.3.*</w:t>
      </w:r>
    </w:p>
    <w:p>
      <w:pPr>
        <w:pStyle w:val="Heading2"/>
      </w:pPr>
      <w:r>
        <w:t>Slides 26-30 — Ambition 3 : Rendre nos clients maîtres de leur Tech — SLIDE RICHE</w:t>
      </w:r>
    </w:p>
    <w:p>
      <w:pPr>
        <w:pStyle w:val="ListBullet"/>
      </w:pPr>
      <w:r>
        <w:rPr>
          <w:b/>
        </w:rPr>
        <w:t>Matière d'analyse à intégrer :</w:t>
      </w:r>
    </w:p>
    <w:p>
      <w:pPr>
        <w:pStyle w:val="ListBullet2"/>
      </w:pPr>
      <w:r>
        <w:t xml:space="preserve">Slide 27 (offre « Tech Resilience » via partenariats) : la confiance/la souveraineté/la sécurité </w:t>
      </w:r>
      <w:r>
        <w:rPr>
          <w:b/>
        </w:rPr>
        <w:t>se vendent</w:t>
      </w:r>
      <w:r>
        <w:t xml:space="preserve"> désormais (← Déduction 3.5). Ancrer sur les partenariats (← Positionnement 4.2/4.3) et sur l'ADN utilité publique.</w:t>
      </w:r>
    </w:p>
    <w:p>
      <w:pPr>
        <w:pStyle w:val="ListBullet2"/>
      </w:pPr>
      <w:r>
        <w:t>Slide 28 (sécuriser/outiller les dispositifs agentiques) — le cœur R6. Chiffres à intégrer :</w:t>
      </w:r>
    </w:p>
    <w:p>
      <w:pPr>
        <w:pStyle w:val="ListBullet2"/>
      </w:pPr>
      <w:r>
        <w:rPr>
          <w:b/>
        </w:rPr>
        <w:t>L'attaquant devient autonome</w:t>
      </w:r>
      <w:r>
        <w:t xml:space="preserve"> : campagne GTG-1002, IA exécutant 80-90 % de l'opération (Anthropic nov. 2025) ; PROMPTFLUX réécrit son code toutes les heures, PROMPTSTEAL (APT28) génère ses commandes à la volée (Google GTIG 5 nov. 2025).</w:t>
      </w:r>
    </w:p>
    <w:p>
      <w:pPr>
        <w:pStyle w:val="ListBullet2"/>
      </w:pPr>
      <w:r>
        <w:rPr>
          <w:b/>
        </w:rPr>
        <w:t>L'outillage IA/dev devient une cible</w:t>
      </w:r>
      <w:r>
        <w:t xml:space="preserve"> car il concentre les secrets : `litellm` backdooré → ~500 000 identifiants exposés (dont clés Meta/OpenAI/Anthropic) ; ver npm </w:t>
      </w:r>
      <w:r>
        <w:rPr>
          <w:b/>
        </w:rPr>
        <w:t>Shai-Hulud</w:t>
      </w:r>
      <w:r>
        <w:t xml:space="preserve"> (~200 paquets, alerte CISA 23 sept. 2025) ; </w:t>
      </w:r>
      <w:r>
        <w:rPr>
          <w:b/>
        </w:rPr>
        <w:t>« Rules File Backdoor »</w:t>
      </w:r>
      <w:r>
        <w:t xml:space="preserve"> cachant des instructions invisibles dans les configs de Cursor/Copilot (Pillar Security).</w:t>
      </w:r>
    </w:p>
    <w:p>
      <w:pPr>
        <w:pStyle w:val="ListBullet2"/>
      </w:pPr>
      <w:r>
        <w:rPr>
          <w:b/>
        </w:rPr>
        <w:t>Le code IA embarque sa dette de sécurité</w:t>
      </w:r>
      <w:r>
        <w:t xml:space="preserve"> : EchoLeak (CVE-2025-32711, criticité 9,3), injection « zero-click » dans M365 Copilot ; </w:t>
      </w:r>
      <w:r>
        <w:rPr>
          <w:b/>
        </w:rPr>
        <w:t>45 % du code généré vulnérable</w:t>
      </w:r>
      <w:r>
        <w:t xml:space="preserve"> (Veracode) ; </w:t>
      </w:r>
      <w:r>
        <w:rPr>
          <w:b/>
        </w:rPr>
        <w:t>slopsquatting</w:t>
      </w:r>
      <w:r>
        <w:t xml:space="preserve"> — 19,7 % du code généré cite une dépendance inexistante, 43 % de ces noms prévisibles (USENIX Security 2025).</w:t>
      </w:r>
    </w:p>
    <w:p>
      <w:pPr>
        <w:pStyle w:val="ListBullet2"/>
      </w:pPr>
      <w:r>
        <w:t xml:space="preserve">Gouvernance à vendre : définir ce qu'est un « changement substantiellement IA », seuils de revue, red teaming d'agents, allowlist de paquets, </w:t>
      </w:r>
      <w:r>
        <w:rPr>
          <w:b/>
        </w:rPr>
        <w:t>revue humaine senior obligatoire</w:t>
      </w:r>
      <w:r>
        <w:t xml:space="preserve"> — le point de contrôle qu'</w:t>
      </w:r>
      <w:r>
        <w:rPr>
          <w:b/>
        </w:rPr>
        <w:t>Amazon a rendu obligatoire après plusieurs pannes</w:t>
      </w:r>
      <w:r>
        <w:t xml:space="preserve"> causées par ses propres outils IA (TechRadar Pro). S'ancrer sur le référentiel ANSSI (« un système d'IA générative est d'abord une application métier standard », ANSSI-PA-102).</w:t>
      </w:r>
    </w:p>
    <w:p>
      <w:pPr>
        <w:pStyle w:val="ListBullet2"/>
      </w:pPr>
      <w:r>
        <w:t>Slide 29 (accompagner les transformations imposées par l'IA : impacts sociaux/orga/environnementaux) :</w:t>
      </w:r>
    </w:p>
    <w:p>
      <w:pPr>
        <w:pStyle w:val="ListBullet2"/>
      </w:pPr>
      <w:r>
        <w:rPr>
          <w:b/>
        </w:rPr>
        <w:t>Social/orga</w:t>
      </w:r>
      <w:r>
        <w:t xml:space="preserve"> : le vrai blocage est le rewiring (95 % de pilotes sans ROI, MIT) ; l'angle mort junior et la conduite du changement sont le cœur du service à vendre (← Déduction 3.3 &amp; 3.5). Contre-récit à citer : </w:t>
      </w:r>
      <w:r>
        <w:rPr>
          <w:b/>
        </w:rPr>
        <w:t>Klarna</w:t>
      </w:r>
      <w:r>
        <w:t xml:space="preserve"> a remplacé ~700 agents par l'IA (2024) puis </w:t>
      </w:r>
      <w:r>
        <w:rPr>
          <w:b/>
        </w:rPr>
        <w:t>réembauché des humains en 2025</w:t>
      </w:r>
      <w:r>
        <w:t>, qualité jugée « inférieure » — optimiser la métrique n'est pas délivrer le résultat.</w:t>
      </w:r>
    </w:p>
    <w:p>
      <w:pPr>
        <w:pStyle w:val="ListBullet2"/>
      </w:pPr>
      <w:r>
        <w:rPr>
          <w:b/>
        </w:rPr>
        <w:t>Environnemental</w:t>
      </w:r>
      <w:r>
        <w:t xml:space="preserve"> : le compute a un coût réel et croissant (capex ~725 Md$, H100 +40 %) ; la sobriété est un axe RSE ET business (← Force 1.2). Cohérent avec « sobre » du slide 12.</w:t>
      </w:r>
    </w:p>
    <w:p>
      <w:pPr>
        <w:pStyle w:val="ListBullet"/>
      </w:pPr>
      <w:r>
        <w:t>*Lien fil rouge : ← Force 1.5 (R6), ← Déduction 3.5 &amp; 3.3, ← Positionnement 4.1 &amp; 4.2.*</w:t>
      </w:r>
    </w:p>
    <w:p>
      <w:pPr>
        <w:pStyle w:val="Heading2"/>
      </w:pPr>
      <w:r>
        <w:t>Slides 31-35 — Ambition 4 : S'engager au résultat, à la valeur rendue — SLIDE RICHE</w:t>
      </w:r>
    </w:p>
    <w:p>
      <w:r>
        <w:t>*(Détail parlé en Partie C. Ici, la matière d'analyse par slide.)*</w:t>
      </w:r>
    </w:p>
    <w:p>
      <w:pPr>
        <w:pStyle w:val="ListBullet"/>
      </w:pPr>
      <w:r>
        <w:rPr>
          <w:b/>
        </w:rPr>
        <w:t>Slide 31 (intro de l'ambition) :</w:t>
      </w:r>
    </w:p>
    <w:p>
      <w:pPr>
        <w:pStyle w:val="ListBullet2"/>
      </w:pPr>
      <w:r>
        <w:t xml:space="preserve">Le mouvement est réel mais à ne pas surestimer : </w:t>
      </w:r>
      <w:r>
        <w:rPr>
          <w:b/>
        </w:rPr>
        <w:t>McKinsey ~25 % d'honoraires au résultat, BCG 20 %→40 % de CA IA, Bain vise 50 %</w:t>
      </w:r>
      <w:r>
        <w:t xml:space="preserve"> (WSJ via AI Weekly) — mais </w:t>
      </w:r>
      <w:r>
        <w:rPr>
          <w:b/>
        </w:rPr>
        <w:t>62,2 % des acheteurs préfèrent encore le forfait</w:t>
      </w:r>
      <w:r>
        <w:t xml:space="preserve"> (IDC mars 2026). Le message : « on y va, sans naïveté ».</w:t>
      </w:r>
    </w:p>
    <w:p>
      <w:pPr>
        <w:pStyle w:val="ListBullet"/>
      </w:pPr>
      <w:r>
        <w:rPr>
          <w:b/>
        </w:rPr>
        <w:t>Slide 32 (maîtriser le coût réel de l'IA + abaques par type de mission) :</w:t>
      </w:r>
    </w:p>
    <w:p>
      <w:pPr>
        <w:pStyle w:val="ListBullet2"/>
      </w:pPr>
      <w:r>
        <w:t xml:space="preserve">Condition non négociable : </w:t>
      </w:r>
      <w:r>
        <w:rPr>
          <w:b/>
        </w:rPr>
        <w:t>vendre un résultat, c'est internaliser le risque que le client refuse de porter</w:t>
      </w:r>
      <w:r>
        <w:t xml:space="preserve"> — impossible sans connaître son coût complet unitaire, compute inclus (← Déduction 3.2).</w:t>
      </w:r>
    </w:p>
    <w:p>
      <w:pPr>
        <w:pStyle w:val="ListBullet2"/>
      </w:pPr>
      <w:r>
        <w:rPr>
          <w:b/>
        </w:rPr>
        <w:t>96 % des déploiements GenAI dépassent les coûts prévus</w:t>
      </w:r>
      <w:r>
        <w:t xml:space="preserve"> (IDC/DataRobot). </w:t>
      </w:r>
      <w:r>
        <w:rPr>
          <w:b/>
        </w:rPr>
        <w:t>FinOps : 98 % des praticiens gèrent des coûts IA en 2026 vs 31 % en 2024</w:t>
      </w:r>
      <w:r>
        <w:t xml:space="preserve"> ; le </w:t>
      </w:r>
      <w:r>
        <w:rPr>
          <w:b/>
        </w:rPr>
        <w:t>gaspillage cloud remonte à 29 %</w:t>
      </w:r>
      <w:r>
        <w:t xml:space="preserve"> (Flexera) ; </w:t>
      </w:r>
      <w:r>
        <w:rPr>
          <w:b/>
        </w:rPr>
        <w:t>73 % des DSI français</w:t>
      </w:r>
      <w:r>
        <w:t xml:space="preserve"> placent l'optimisation des coûts IT dans leur top 3 (Silicon.fr).</w:t>
      </w:r>
    </w:p>
    <w:p>
      <w:pPr>
        <w:pStyle w:val="ListBullet2"/>
      </w:pPr>
      <w:r>
        <w:t xml:space="preserve">Le piège comptable du forfait : le prix est fixe, </w:t>
      </w:r>
      <w:r>
        <w:rPr>
          <w:b/>
        </w:rPr>
        <w:t>le coût variable (tokens) ne l'est pas</w:t>
      </w:r>
      <w:r>
        <w:t xml:space="preserve"> — chez Sierra « les coûts montent à mesure que l'agent s'améliore » (eesel). D'où les </w:t>
      </w:r>
      <w:r>
        <w:rPr>
          <w:b/>
        </w:rPr>
        <w:t>abaques par type de mission</w:t>
      </w:r>
      <w:r>
        <w:t xml:space="preserve"> : coût complet par « unité de valeur livrée », pas par jour-homme.</w:t>
      </w:r>
    </w:p>
    <w:p>
      <w:pPr>
        <w:pStyle w:val="ListBullet2"/>
      </w:pPr>
      <w:r>
        <w:t xml:space="preserve">Risque amont à intégrer dans les abaques : la </w:t>
      </w:r>
      <w:r>
        <w:rPr>
          <w:b/>
        </w:rPr>
        <w:t>dépréciation des GPU</w:t>
      </w:r>
      <w:r>
        <w:t xml:space="preserve"> débattue (Burry chiffre ~176 Md$ d'écart 2026-2028) → le prix du compute affiché est peut-être « subventionné » et pourrait monter (← Force 1.2).</w:t>
      </w:r>
    </w:p>
    <w:p>
      <w:pPr>
        <w:pStyle w:val="ListBullet"/>
      </w:pPr>
      <w:r>
        <w:rPr>
          <w:b/>
        </w:rPr>
        <w:t>Slide 33 (augmenter les missions vendues à la valeur / à l'usage) :</w:t>
      </w:r>
    </w:p>
    <w:p>
      <w:pPr>
        <w:pStyle w:val="ListBullet2"/>
      </w:pPr>
      <w:r>
        <w:t xml:space="preserve">Les trois garde-fous d'une vente au résultat saine (tirés des cas réels) : </w:t>
      </w:r>
      <w:r>
        <w:rPr>
          <w:b/>
        </w:rPr>
        <w:t>définition contractuelle béton</w:t>
      </w:r>
      <w:r>
        <w:t xml:space="preserve"> du résultat, </w:t>
      </w:r>
      <w:r>
        <w:rPr>
          <w:b/>
        </w:rPr>
        <w:t>attribution claire</w:t>
      </w:r>
      <w:r>
        <w:t xml:space="preserve"> (qui a produit le gain), </w:t>
      </w:r>
      <w:r>
        <w:rPr>
          <w:b/>
        </w:rPr>
        <w:t>coût unitaire maîtrisé</w:t>
      </w:r>
      <w:r>
        <w:t>.</w:t>
      </w:r>
    </w:p>
    <w:p>
      <w:pPr>
        <w:pStyle w:val="ListBullet2"/>
      </w:pPr>
      <w:r>
        <w:t xml:space="preserve">Cas « idéal » : </w:t>
      </w:r>
      <w:r>
        <w:rPr>
          <w:b/>
        </w:rPr>
        <w:t>Chargeflow</w:t>
      </w:r>
      <w:r>
        <w:t xml:space="preserve"> facture 25 % du chargeback récupéré, zéro sinon — outcome binaire, monétaire, attribuable. Cas « piège » : </w:t>
      </w:r>
      <w:r>
        <w:rPr>
          <w:b/>
        </w:rPr>
        <w:t>Intercom Fin</w:t>
      </w:r>
      <w:r>
        <w:t xml:space="preserve"> à 0,99 $/résolution, mais « résolution » = silence de 24 h → un client mécontent qui abandonne est facturé comme un succès (plainte n°1 sur son propre forum).</w:t>
      </w:r>
    </w:p>
    <w:p>
      <w:pPr>
        <w:pStyle w:val="ListBullet2"/>
      </w:pPr>
      <w:r>
        <w:t xml:space="preserve">FinOps IA comme </w:t>
      </w:r>
      <w:r>
        <w:rPr>
          <w:b/>
        </w:rPr>
        <w:t>offre la plus immédiatement vendable</w:t>
      </w:r>
      <w:r>
        <w:t xml:space="preserve"> : résultat mesurable, attribuable, urgent — s'engager sur « −X % de facture cloud/IA » plutôt que sur des jours (← Positionnement 4.1).</w:t>
      </w:r>
    </w:p>
    <w:p>
      <w:pPr>
        <w:pStyle w:val="ListBullet"/>
      </w:pPr>
      <w:r>
        <w:rPr>
          <w:b/>
        </w:rPr>
        <w:t>Slide 34 (resell avec 1-2 partenaires stratégiques) :</w:t>
      </w:r>
    </w:p>
    <w:p>
      <w:pPr>
        <w:pStyle w:val="ListBullet2"/>
      </w:pPr>
      <w:r>
        <w:t xml:space="preserve">Le rôle rentable se déplace vers le </w:t>
      </w:r>
      <w:r>
        <w:rPr>
          <w:b/>
        </w:rPr>
        <w:t>builder-opérateur</w:t>
      </w:r>
      <w:r>
        <w:t xml:space="preserve"> et le resell (← Déduction 3.4). L'appartenance à Accenture est le levier décisif : accès aux business groups </w:t>
      </w:r>
      <w:r>
        <w:rPr>
          <w:b/>
        </w:rPr>
        <w:t>Anthropic</w:t>
      </w:r>
      <w:r>
        <w:t xml:space="preserve"> (déploiement de Claude Code « le plus grand jamais réalisé »), </w:t>
      </w:r>
      <w:r>
        <w:rPr>
          <w:b/>
        </w:rPr>
        <w:t>Google Gemini Enterprise, Microsoft, OpenAI, AWS</w:t>
      </w:r>
      <w:r>
        <w:t xml:space="preserve"> — hors de portée d'une ESN indépendante (← Positionnement 4.3).</w:t>
      </w:r>
    </w:p>
    <w:p>
      <w:pPr>
        <w:pStyle w:val="ListBullet2"/>
      </w:pPr>
      <w:r>
        <w:t xml:space="preserve">Cadre GCC/build-operate : l'Inde héberge ~1 800 GCC (~2 M personnes, 64,6 Md$), </w:t>
      </w:r>
      <w:r>
        <w:rPr>
          <w:b/>
        </w:rPr>
        <w:t>près de la moitié des nouvelles implantations impliquent un prestataire</w:t>
      </w:r>
      <w:r>
        <w:t xml:space="preserve"> (Everest ; HFS).</w:t>
      </w:r>
    </w:p>
    <w:p>
      <w:pPr>
        <w:pStyle w:val="ListBullet"/>
      </w:pPr>
      <w:r>
        <w:t>*Lien fil rouge : ← Déduction 3.1, 3.2, 3.4 (R1/R2), ← Positionnement 4.1 &amp; 4.3.*</w:t>
      </w:r>
    </w:p>
    <w:p>
      <w:pPr>
        <w:pStyle w:val="Heading2"/>
      </w:pPr>
      <w:r>
        <w:t>Slides 36-37 — Roadmap FY27</w:t>
      </w:r>
    </w:p>
    <w:p>
      <w:pPr>
        <w:pStyle w:val="ListBullet"/>
      </w:pPr>
      <w:r>
        <w:t xml:space="preserve">Slide d'exécution. Bref. Point d'ancrage utile : la </w:t>
      </w:r>
      <w:r>
        <w:rPr>
          <w:b/>
        </w:rPr>
        <w:t>deadline ROI mi-2026</w:t>
      </w:r>
      <w:r>
        <w:t xml:space="preserve"> (71 % des DSI prêts à geler/couper les budgets IA sans résultats mesurables — Digital-Chiefs) fixe le tempo des jalons roadmap.</w:t>
      </w:r>
    </w:p>
    <w:p>
      <w:pPr>
        <w:pStyle w:val="Heading2"/>
      </w:pPr>
      <w:r>
        <w:t>Slides 38-40 — Forum / Fabrique / Mairie (organisation)</w:t>
      </w:r>
    </w:p>
    <w:p>
      <w:pPr>
        <w:pStyle w:val="ListBullet"/>
      </w:pPr>
      <w:r>
        <w:t>Slides d'organisation interne. Bref. Aucune matière d'analyse à charger.</w:t>
      </w:r>
    </w:p>
    <w:p>
      <w:pPr>
        <w:pStyle w:val="Heading2"/>
      </w:pPr>
      <w:r>
        <w:t>Slide 41 — « À vous de jouer ! »</w:t>
      </w:r>
    </w:p>
    <w:p>
      <w:pPr>
        <w:pStyle w:val="ListBullet"/>
      </w:pPr>
      <w:r>
        <w:t>Clôture, thème gaming. Bref. Éventuelle bascule finale : reprendre la phrase-thèse (« vendre un résultat, pas du temps ») et l'angle mort junior (« fabriquer les seniors de demain ») comme appel à l'action.</w:t>
      </w:r>
    </w:p>
    <w:p>
      <w:pPr>
        <w:pStyle w:val="Heading1"/>
      </w:pPr>
      <w:r>
        <w:t>Partie B — Ce qui manque dans le PPT (vs notre analyse)</w:t>
      </w:r>
    </w:p>
    <w:p>
      <w:r>
        <w:t>*Neuf manques classés du plus structurant au plus fin. Pour chacun : le manque, pourquoi il compte, où le caser.*</w:t>
      </w:r>
    </w:p>
    <w:p>
      <w:pPr>
        <w:pStyle w:val="Heading2"/>
      </w:pPr>
      <w:r>
        <w:t>B1 — Les 6 règles sont affirmées mais non chiffrées ni sourcées</w:t>
      </w:r>
    </w:p>
    <w:p>
      <w:pPr>
        <w:pStyle w:val="ListBullet"/>
      </w:pPr>
      <w:r>
        <w:rPr>
          <w:b/>
        </w:rPr>
        <w:t>Le manque :</w:t>
      </w:r>
      <w:r>
        <w:t xml:space="preserve"> le slide 9 énonce six vérités fortes sans une seule preuve à l'appui.</w:t>
      </w:r>
    </w:p>
    <w:p>
      <w:pPr>
        <w:pStyle w:val="ListBullet"/>
      </w:pPr>
      <w:r>
        <w:rPr>
          <w:b/>
        </w:rPr>
        <w:t>Pourquoi ça compte :</w:t>
      </w:r>
      <w:r>
        <w:t xml:space="preserve"> devant une salle d'Octos (public exigeant, rompu à la donnée), une affirmation non étayée s'oublie ; un chiffre marquant reste. Notre étude fournit exactement une preuve par règle (voir Partie A, slide 9).</w:t>
      </w:r>
    </w:p>
    <w:p>
      <w:pPr>
        <w:pStyle w:val="ListBullet"/>
      </w:pPr>
      <w:r>
        <w:rPr>
          <w:b/>
        </w:rPr>
        <w:t>Où le caser :</w:t>
      </w:r>
      <w:r>
        <w:t xml:space="preserve"> en note d'orateur sous chaque règle du slide 9, ou en une ligne chiffrée par règle directement sur le slide.</w:t>
      </w:r>
    </w:p>
    <w:p>
      <w:pPr>
        <w:pStyle w:val="Heading2"/>
      </w:pPr>
      <w:r>
        <w:t>B2 — La condition financière « maîtriser son coût pour vendre au résultat » (FinOps IA, TCO, prime de risque)</w:t>
      </w:r>
    </w:p>
    <w:p>
      <w:pPr>
        <w:pStyle w:val="ListBullet"/>
      </w:pPr>
      <w:r>
        <w:rPr>
          <w:b/>
        </w:rPr>
        <w:t>Le manque :</w:t>
      </w:r>
      <w:r>
        <w:t xml:space="preserve"> le deck (slide 32) parle de « maîtriser le coût réel de l'IA », mais ne pose pas explicitement la mécanique : </w:t>
      </w:r>
      <w:r>
        <w:rPr>
          <w:b/>
        </w:rPr>
        <w:t>vendre un résultat = internaliser le risque que le client refuse de porter</w:t>
      </w:r>
      <w:r>
        <w:t>, ce qui exige un coût complet unitaire et une prime de risque dans le prix.</w:t>
      </w:r>
    </w:p>
    <w:p>
      <w:pPr>
        <w:pStyle w:val="ListBullet"/>
      </w:pPr>
      <w:r>
        <w:rPr>
          <w:b/>
        </w:rPr>
        <w:t>Pourquoi ça compte :</w:t>
      </w:r>
      <w:r>
        <w:t xml:space="preserve"> c'est LA déduction la plus souvent oubliée (← Déduction 3.2). Sans elle, la vente au résultat sous-marge au lieu de créer de la valeur — </w:t>
      </w:r>
      <w:r>
        <w:rPr>
          <w:b/>
        </w:rPr>
        <w:t>96 % des déploiements GenAI dépassent les coûts prévus</w:t>
      </w:r>
      <w:r>
        <w:t xml:space="preserve"> ; le prix fixe / coût variable (tokens) écrase la marge (cas Sierra). Le contexte de taux élevés (BCE et Fed ont relevé en 2026) rend la prime de risque non optionnelle.</w:t>
      </w:r>
    </w:p>
    <w:p>
      <w:pPr>
        <w:pStyle w:val="ListBullet"/>
      </w:pPr>
      <w:r>
        <w:rPr>
          <w:b/>
        </w:rPr>
        <w:t>Où le caser :</w:t>
      </w:r>
      <w:r>
        <w:t xml:space="preserve"> slide 32, en faire le message central ; nourrit le script de la Partie C.</w:t>
      </w:r>
    </w:p>
    <w:p>
      <w:pPr>
        <w:pStyle w:val="Heading2"/>
      </w:pPr>
      <w:r>
        <w:t>B3 — Le décrochage des éditeurs de logiciels et le « build vs buy » rebattu</w:t>
      </w:r>
    </w:p>
    <w:p>
      <w:pPr>
        <w:pStyle w:val="ListBullet"/>
      </w:pPr>
      <w:r>
        <w:rPr>
          <w:b/>
        </w:rPr>
        <w:t>Le manque :</w:t>
      </w:r>
      <w:r>
        <w:t xml:space="preserve"> le deck est centré ESN/conseil ; il ne dit rien du choc parallèle sur le software, pourtant très parlant.</w:t>
      </w:r>
    </w:p>
    <w:p>
      <w:pPr>
        <w:pStyle w:val="ListBullet"/>
      </w:pPr>
      <w:r>
        <w:rPr>
          <w:b/>
        </w:rPr>
        <w:t>Pourquoi ça compte :</w:t>
      </w:r>
      <w:r>
        <w:t xml:space="preserve"> montre que </w:t>
      </w:r>
      <w:r>
        <w:rPr>
          <w:b/>
        </w:rPr>
        <w:t>personne n'est à l'abri</w:t>
      </w:r>
      <w:r>
        <w:t xml:space="preserve"> et légitime le pivot. </w:t>
      </w:r>
      <w:r>
        <w:rPr>
          <w:b/>
        </w:rPr>
        <w:t>~285 Md$ de SaaS effacés en 48 h début 2026 (« SaaSpocalypse »)</w:t>
      </w:r>
      <w:r>
        <w:t xml:space="preserve"> ; le software se traite </w:t>
      </w:r>
      <w:r>
        <w:rPr>
          <w:b/>
        </w:rPr>
        <w:t>pour la première fois en décote sous le S&amp;P 500</w:t>
      </w:r>
      <w:r>
        <w:t xml:space="preserve"> ; </w:t>
      </w:r>
      <w:r>
        <w:rPr>
          <w:b/>
        </w:rPr>
        <w:t>234 Md$ de dépense SaaS exposés à l'« arbitrage agentique » d'ici 2030</w:t>
      </w:r>
      <w:r>
        <w:t xml:space="preserve"> (Gartner). Côté build vs buy : </w:t>
      </w:r>
      <w:r>
        <w:rPr>
          <w:b/>
        </w:rPr>
        <w:t>35 % des équipes ont déjà remplacé un SaaS par du sur-mesure, 78 % prévoient d'en construire plus</w:t>
      </w:r>
      <w:r>
        <w:t xml:space="preserve"> (Retool) — menace ET opportunité pour Octo (← Constat 2.7, ← Déduction 3.6).</w:t>
      </w:r>
    </w:p>
    <w:p>
      <w:pPr>
        <w:pStyle w:val="ListBullet"/>
      </w:pPr>
      <w:r>
        <w:rPr>
          <w:b/>
        </w:rPr>
        <w:t>Où le caser :</w:t>
      </w:r>
      <w:r>
        <w:t xml:space="preserve"> slide 3 (bilan marché) ou slides 26-30 (Ambition 3), comme contexte de menace/opportunité.</w:t>
      </w:r>
    </w:p>
    <w:p>
      <w:pPr>
        <w:pStyle w:val="Heading2"/>
      </w:pPr>
      <w:r>
        <w:t>B4 — L'angle mort du pipeline junior (« qui seront les seniors de demain ? »)</w:t>
      </w:r>
    </w:p>
    <w:p>
      <w:pPr>
        <w:pStyle w:val="ListBullet"/>
      </w:pPr>
      <w:r>
        <w:rPr>
          <w:b/>
        </w:rPr>
        <w:t>Le manque :</w:t>
      </w:r>
      <w:r>
        <w:t xml:space="preserve"> le deck évoque « métiers de demain » et « fidélisation » (slide 24) mais ne nomme pas frontalement le risque de second ordre : </w:t>
      </w:r>
      <w:r>
        <w:rPr>
          <w:b/>
        </w:rPr>
        <w:t>couper l'entrée de gamme casse la fabrique des seniors</w:t>
      </w:r>
      <w:r>
        <w:t>.</w:t>
      </w:r>
    </w:p>
    <w:p>
      <w:pPr>
        <w:pStyle w:val="ListBullet"/>
      </w:pPr>
      <w:r>
        <w:rPr>
          <w:b/>
        </w:rPr>
        <w:t>Pourquoi ça compte :</w:t>
      </w:r>
      <w:r>
        <w:t xml:space="preserve"> c'est le point le plus stratégique de la partie déductions (← Déduction 3.3) et un formidable message de différenciation/recrutement pour une maison « craftsmanship » (« best place to grow », slide 13). </w:t>
      </w:r>
      <w:r>
        <w:rPr>
          <w:b/>
        </w:rPr>
        <w:t>Freshers −80 % en Inde, MBB gèlent les salaires d'entrée 3 ans de suite, un tiers des responsables talents constatent déjà la réduction des tâches de formation entry-level</w:t>
      </w:r>
      <w:r>
        <w:t xml:space="preserve"> (McKinsey mars 2026).</w:t>
      </w:r>
    </w:p>
    <w:p>
      <w:pPr>
        <w:pStyle w:val="ListBullet"/>
      </w:pPr>
      <w:r>
        <w:rPr>
          <w:b/>
        </w:rPr>
        <w:t>Où le caser :</w:t>
      </w:r>
      <w:r>
        <w:t xml:space="preserve"> slide 24 (Ambition 2, métiers de demain) et/ou slide 13 (manifeste, « best place to grow »).</w:t>
      </w:r>
    </w:p>
    <w:p>
      <w:pPr>
        <w:pStyle w:val="Heading2"/>
      </w:pPr>
      <w:r>
        <w:t>B5 — Un vrai cas de vente au résultat avec ses pièges (McKinsey/Acorn, Intercom Fin)</w:t>
      </w:r>
    </w:p>
    <w:p>
      <w:pPr>
        <w:pStyle w:val="ListBullet"/>
      </w:pPr>
      <w:r>
        <w:rPr>
          <w:b/>
        </w:rPr>
        <w:t>Le manque :</w:t>
      </w:r>
      <w:r>
        <w:t xml:space="preserve"> l'Ambition 4 affirme la direction sans montrer un cas réel ni ses chausse-trappes.</w:t>
      </w:r>
    </w:p>
    <w:p>
      <w:pPr>
        <w:pStyle w:val="ListBullet"/>
      </w:pPr>
      <w:r>
        <w:rPr>
          <w:b/>
        </w:rPr>
        <w:t>Pourquoi ça compte :</w:t>
      </w:r>
      <w:r>
        <w:t xml:space="preserve"> rien ne crédibilise mieux qu'un cas nommé avec son dénouement. </w:t>
      </w:r>
      <w:r>
        <w:rPr>
          <w:b/>
        </w:rPr>
        <w:t>McKinsey (25 % au résultat) a dû réformer la rémunération de ses associés (« Project Acorn », mai 2026)</w:t>
      </w:r>
      <w:r>
        <w:t xml:space="preserve"> pour absorber la volatilité — passer au résultat commence par réaligner qui, en interne, porte le risque. </w:t>
      </w:r>
      <w:r>
        <w:rPr>
          <w:b/>
        </w:rPr>
        <w:t>Intercom Fin</w:t>
      </w:r>
      <w:r>
        <w:t xml:space="preserve"> montre que la bagarre porte sur la </w:t>
      </w:r>
      <w:r>
        <w:rPr>
          <w:b/>
        </w:rPr>
        <w:t>définition</w:t>
      </w:r>
      <w:r>
        <w:t xml:space="preserve"> du résultat, pas sur le prix. </w:t>
      </w:r>
      <w:r>
        <w:rPr>
          <w:b/>
        </w:rPr>
        <w:t>Chargeflow</w:t>
      </w:r>
      <w:r>
        <w:t xml:space="preserve"> montre le cas sain (outcome binaire/monétaire).</w:t>
      </w:r>
    </w:p>
    <w:p>
      <w:pPr>
        <w:pStyle w:val="ListBullet"/>
      </w:pPr>
      <w:r>
        <w:rPr>
          <w:b/>
        </w:rPr>
        <w:t>Où le caser :</w:t>
      </w:r>
      <w:r>
        <w:t xml:space="preserve"> slide 33 (missions à la valeur), en encart « cas &amp; pièges » ; développé dans le script Partie C.</w:t>
      </w:r>
    </w:p>
    <w:p>
      <w:pPr>
        <w:pStyle w:val="Heading2"/>
      </w:pPr>
      <w:r>
        <w:t>B6 — Le décor macro : « bulle IA » et hausse à venir des prix B2B de l'IA</w:t>
      </w:r>
    </w:p>
    <w:p>
      <w:pPr>
        <w:pStyle w:val="ListBullet"/>
      </w:pPr>
      <w:r>
        <w:rPr>
          <w:b/>
        </w:rPr>
        <w:t>Le manque :</w:t>
      </w:r>
      <w:r>
        <w:t xml:space="preserve"> aucune mention du contexte financier qui conditionne les budgets clients et le prix futur de l'IA.</w:t>
      </w:r>
    </w:p>
    <w:p>
      <w:pPr>
        <w:pStyle w:val="ListBullet"/>
      </w:pPr>
      <w:r>
        <w:rPr>
          <w:b/>
        </w:rPr>
        <w:t>Pourquoi ça compte :</w:t>
      </w:r>
      <w:r>
        <w:t xml:space="preserve"> cadre les arbitrages. </w:t>
      </w:r>
      <w:r>
        <w:rPr>
          <w:b/>
        </w:rPr>
        <w:t>BCE et Fed ont relevé leurs taux en 2026</w:t>
      </w:r>
      <w:r>
        <w:t xml:space="preserve"> (le capital est redevenu cher, ROI exigé, payback raccourcis) ; </w:t>
      </w:r>
      <w:r>
        <w:rPr>
          <w:b/>
        </w:rPr>
        <w:t>FMI et Bank of England alertent sur des valorisations « comparables au pic 2000 »</w:t>
      </w:r>
      <w:r>
        <w:t xml:space="preserve"> ; financement circulaire Nvidia-OpenAI-Oracle « au nord de 800 Md$ ». Surtout : </w:t>
      </w:r>
      <w:r>
        <w:rPr>
          <w:b/>
        </w:rPr>
        <w:t>« l'ère des subventions IA est terminée », les prix B2B de l'IA vont monter</w:t>
      </w:r>
      <w:r>
        <w:t xml:space="preserve"> (Anthropic passé du forfait à l'usage ; Bersin : amortir les capex exigerait ~1 000 Md$/an de revenu nouveau). Conséquence directe : les abaques d'Octo doivent anticiper une hausse du coût du compute.</w:t>
      </w:r>
    </w:p>
    <w:p>
      <w:pPr>
        <w:pStyle w:val="ListBullet"/>
      </w:pPr>
      <w:r>
        <w:rPr>
          <w:b/>
        </w:rPr>
        <w:t>Où le caser :</w:t>
      </w:r>
      <w:r>
        <w:t xml:space="preserve"> slide 10 (« proche de nous ») ou slide 32 (coût réel de l'IA), en toile de fond.</w:t>
      </w:r>
    </w:p>
    <w:p>
      <w:pPr>
        <w:pStyle w:val="Heading2"/>
      </w:pPr>
      <w:r>
        <w:t>B7 — La tension souveraineté vs appartenance à Accenture (CLOUD Act) traitée frontalement</w:t>
      </w:r>
    </w:p>
    <w:p>
      <w:pPr>
        <w:pStyle w:val="ListBullet"/>
      </w:pPr>
      <w:r>
        <w:rPr>
          <w:b/>
        </w:rPr>
        <w:t>Le manque :</w:t>
      </w:r>
      <w:r>
        <w:t xml:space="preserve"> le positionnement « leader de la tech française, souverain » (slides 11-12) ne dit rien de la contradiction apparente avec l'appartenance à un groupe US coté à New York.</w:t>
      </w:r>
    </w:p>
    <w:p>
      <w:pPr>
        <w:pStyle w:val="ListBullet"/>
      </w:pPr>
      <w:r>
        <w:rPr>
          <w:b/>
        </w:rPr>
        <w:t>Pourquoi ça compte :</w:t>
      </w:r>
      <w:r>
        <w:t xml:space="preserve"> un public averti y pensera ; mieux vaut désamorcer que laisser planer. </w:t>
      </w:r>
      <w:r>
        <w:rPr>
          <w:b/>
        </w:rPr>
        <w:t>SecNumCloud exige l'immunité aux lois extraterritoriales</w:t>
      </w:r>
      <w:r>
        <w:t xml:space="preserve"> (actionnariat/gouvernance hors juridiction non-UE) ; le précédent Microsoft France (« non, je ne peux pas le garantir », sous serment) fragilise tout acteur adossé à un groupe US. Réponse honnête : jouer la </w:t>
      </w:r>
      <w:r>
        <w:rPr>
          <w:b/>
        </w:rPr>
        <w:t>souveraineté opérationnelle</w:t>
      </w:r>
      <w:r>
        <w:t xml:space="preserve"> (données résidentes et opérées en UE) et l'expertise, sans revendiquer la souveraineté juridique/capitalistique, et </w:t>
      </w:r>
      <w:r>
        <w:rPr>
          <w:b/>
        </w:rPr>
        <w:t>arbitrer quels segments souverains sont réellement adressables</w:t>
      </w:r>
      <w:r>
        <w:t xml:space="preserve"> (NB Accenture).</w:t>
      </w:r>
    </w:p>
    <w:p>
      <w:pPr>
        <w:pStyle w:val="ListBullet"/>
      </w:pPr>
      <w:r>
        <w:rPr>
          <w:b/>
        </w:rPr>
        <w:t>Où le caser :</w:t>
      </w:r>
      <w:r>
        <w:t xml:space="preserve"> slides 11-12 (positionnement), en note d'orateur ; ou en Q&amp;R préparée.</w:t>
      </w:r>
    </w:p>
    <w:p>
      <w:pPr>
        <w:pStyle w:val="Heading2"/>
      </w:pPr>
      <w:r>
        <w:t>B8 — La croissance chiffrée du marché par géographie (marché à deux vitesses géographique)</w:t>
      </w:r>
    </w:p>
    <w:p>
      <w:pPr>
        <w:pStyle w:val="ListBullet"/>
      </w:pPr>
      <w:r>
        <w:rPr>
          <w:b/>
        </w:rPr>
        <w:t>Le manque :</w:t>
      </w:r>
      <w:r>
        <w:t xml:space="preserve"> le deck ne situe pas la France dans la géographie mondiale de la croissance.</w:t>
      </w:r>
    </w:p>
    <w:p>
      <w:pPr>
        <w:pStyle w:val="ListBullet"/>
      </w:pPr>
      <w:r>
        <w:rPr>
          <w:b/>
        </w:rPr>
        <w:t>Pourquoi ça compte :</w:t>
      </w:r>
      <w:r>
        <w:t xml:space="preserve"> explique pourquoi la croissance domestique restera structurellement inférieure au mondial, et justifie l'ancrage FR/EU souverain plutôt que la course au volume. </w:t>
      </w:r>
      <w:r>
        <w:rPr>
          <w:b/>
        </w:rPr>
        <w:t>Amérique du Nord +9 % (2 280 Md$), Asie-Pacifique +7,9 % (1 100 Md$), Europe +6,3 % (1 750 Md$) — la plus lente</w:t>
      </w:r>
      <w:r>
        <w:t xml:space="preserve"> (Forrester fév. 2026) ; serveurs IA : </w:t>
      </w:r>
      <w:r>
        <w:rPr>
          <w:b/>
        </w:rPr>
        <w:t>NA 170 Md$ vs Europe 46,8 Md$</w:t>
      </w:r>
      <w:r>
        <w:t xml:space="preserve"> (Gartner). L'Europe capte proportionnellement plus de valeur sur le software/services IA que sur l'infra — plutôt favorable aux intégrateurs.</w:t>
      </w:r>
    </w:p>
    <w:p>
      <w:pPr>
        <w:pStyle w:val="ListBullet"/>
      </w:pPr>
      <w:r>
        <w:rPr>
          <w:b/>
        </w:rPr>
        <w:t>Où le caser :</w:t>
      </w:r>
      <w:r>
        <w:t xml:space="preserve"> slide 3 (bilan marché) ou slides 11-12 (positionnement de marché).</w:t>
      </w:r>
    </w:p>
    <w:p>
      <w:pPr>
        <w:pStyle w:val="Heading2"/>
      </w:pPr>
      <w:r>
        <w:t>B9 — La nuance « clients butent sur l'orga » quantifiée (95 % de pilotes sans ROI)</w:t>
      </w:r>
    </w:p>
    <w:p>
      <w:pPr>
        <w:pStyle w:val="ListBullet"/>
      </w:pPr>
      <w:r>
        <w:rPr>
          <w:b/>
        </w:rPr>
        <w:t>Le manque :</w:t>
      </w:r>
      <w:r>
        <w:t xml:space="preserve"> la règle 3 (slide 9) et l'Ambition 3 posent que les clients butent sur l'organisation, sans le chiffre massue.</w:t>
      </w:r>
    </w:p>
    <w:p>
      <w:pPr>
        <w:pStyle w:val="ListBullet"/>
      </w:pPr>
      <w:r>
        <w:rPr>
          <w:b/>
        </w:rPr>
        <w:t>Pourquoi ça compte :</w:t>
      </w:r>
      <w:r>
        <w:t xml:space="preserve"> ce chiffre transforme une intuition en marché adressable pour Octo. </w:t>
      </w:r>
      <w:r>
        <w:rPr>
          <w:b/>
        </w:rPr>
        <w:t>95 % des pilotes GenAI sans impact P&amp;L (MIT)</w:t>
      </w:r>
      <w:r>
        <w:t xml:space="preserve"> ; </w:t>
      </w:r>
      <w:r>
        <w:rPr>
          <w:b/>
        </w:rPr>
        <w:t>« 80 % de rewiring organisationnel » (McKinsey)</w:t>
      </w:r>
      <w:r>
        <w:t xml:space="preserve"> ; et l'argument commercial décisif : </w:t>
      </w:r>
      <w:r>
        <w:rPr>
          <w:b/>
        </w:rPr>
        <w:t>les projets menés avec un partenaire externe réussissent ~2× mieux</w:t>
      </w:r>
      <w:r>
        <w:t xml:space="preserve"> (MIT). C'est la meilleure justification de l'Ambition 3.</w:t>
      </w:r>
    </w:p>
    <w:p>
      <w:pPr>
        <w:pStyle w:val="ListBullet"/>
      </w:pPr>
      <w:r>
        <w:rPr>
          <w:b/>
        </w:rPr>
        <w:t>Où le caser :</w:t>
      </w:r>
      <w:r>
        <w:t xml:space="preserve"> slide 9 (règle 3) et slide 29 (transformations imposées par l'IA).</w:t>
      </w:r>
    </w:p>
    <w:p>
      <w:r>
        <w:t xml:space="preserve">*Manque bonus (facultatif, si le temps le permet) :* </w:t>
      </w:r>
      <w:r>
        <w:rPr>
          <w:b/>
        </w:rPr>
        <w:t>l'inflation logicielle subie par les clients</w:t>
      </w:r>
      <w:r>
        <w:t xml:space="preserve"> (Cigref : cloud+logiciels </w:t>
      </w:r>
      <w:r>
        <w:rPr>
          <w:b/>
        </w:rPr>
        <w:t>+8,7 %/an</w:t>
      </w:r>
      <w:r>
        <w:t xml:space="preserve">, jusqu'à </w:t>
      </w:r>
      <w:r>
        <w:rPr>
          <w:b/>
        </w:rPr>
        <w:t>+43 % Microsoft Frontline</w:t>
      </w:r>
      <w:r>
        <w:t xml:space="preserve">, </w:t>
      </w:r>
      <w:r>
        <w:rPr>
          <w:b/>
        </w:rPr>
        <w:t>+150-1200 % Broadcom/VMware</w:t>
      </w:r>
      <w:r>
        <w:t>) — un même geste défensif (souveraineté + FinOps + dé-bundling) qu'Octo peut vendre aux grands comptes français. À caser slide 27 ou 32.</w:t>
      </w:r>
    </w:p>
    <w:p>
      <w:pPr>
        <w:pStyle w:val="Heading1"/>
      </w:pPr>
      <w:r>
        <w:t>Partie C — Script oral des slides 31 à 34 (Ambition 4), ~10 minutes</w:t>
      </w:r>
    </w:p>
    <w:p>
      <w:r>
        <w:t>*Ton parlé, direct, « je/nous ». Durées indicatives. Punchline d'ouverture par slide, une histoire/analogie minimum par slide, transition à la fin de chaque bloc. ~1500 mots.*</w:t>
      </w:r>
    </w:p>
    <w:p>
      <w:pPr>
        <w:pStyle w:val="Heading2"/>
      </w:pPr>
      <w:r>
        <w:t>Slide 31 — S'engager au résultat, à la valeur rendue (≈2 min)</w:t>
      </w:r>
    </w:p>
    <w:p>
      <w:r>
        <w:rPr>
          <w:b/>
        </w:rPr>
        <w:t>Punchline d'ouverture :</w:t>
      </w:r>
      <w:r>
        <w:t xml:space="preserve"> « Pendant vingt ans, on a vendu des jours. Le problème, c'est que le jour vient de perdre la moitié de sa valeur — et que personne ne nous rendra la différence. »</w:t>
      </w:r>
    </w:p>
    <w:p>
      <w:r>
        <w:t>Voilà où on en est. Nos gains de productivité liés à l'IA sont passés de 15 % en 2025 à 22,3 % attendus en 2027. C'est une excellente nouvelle pour la qualité et pour vous. Mais dans notre modèle historique — je vous le rappelle, chiffre d'affaires égale nombre de personnes, fois taux d'activité, fois tarif journalier — un gain de productivité, ça veut dire moins de jours facturés à qualité égale. Autrement dit : plus on est bons avec l'IA, moins on facture. Le modèle punit celui qui fait bien son travail.</w:t>
      </w:r>
    </w:p>
    <w:p>
      <w:r>
        <w:t>Prenez l'image du taxi. Vous montez, le compteur tourne à la durée. Sauf que la voiture roule maintenant trois fois plus vite. Vous arrivez trois fois plus tôt… et le chauffeur encaisse trois fois moins. C'est exactement ce qui nous arrive. Et ce n'est pas une vue de l'esprit : 35 % des ESN anticipent déjà une baisse de leur marge opérationnelle sur ce premier semestre. Chez les géants indiens, les patrons ont un mot pour ça — le patron de HCLTech parle de « déflation IA », celui de TCS de « décroissance ».</w:t>
      </w:r>
    </w:p>
    <w:p>
      <w:r>
        <w:t>Alors, la réponse est simple à énoncer : on arrête de vendre du temps, on vend un résultat. Le président du collège ESN de Numeum le dit sans détour : « les clients n'achètent plus du temps, ils achètent des résultats. » Et la maison mère nous montre le chemin — Accenture fait déjà près de 60 % de son travail en prix fixe.</w:t>
      </w:r>
    </w:p>
    <w:p>
      <w:r>
        <w:t>Mais — et je veux être honnête avec vous, parce que je déteste les slides qui vendent du rêve — ce n'est pas gagné d'avance. Quand on interroge 656 acheteurs, 62 % préfèrent encore le forfait, et 9 % seulement veulent payer au résultat. Ça bouge, mais surtout chez les clients matures sur l'IA. Donc on y va, oui. Sans naïveté.</w:t>
      </w:r>
    </w:p>
    <w:p>
      <w:r>
        <w:rPr>
          <w:b/>
        </w:rPr>
        <w:t>Transition :</w:t>
      </w:r>
      <w:r>
        <w:t xml:space="preserve"> « Et si on veut vendre un résultat sans se ruiner, il y a un préalable que personne n'aime regarder en face : savoir ce que ça nous coûte vraiment. »</w:t>
      </w:r>
    </w:p>
    <w:p>
      <w:pPr>
        <w:pStyle w:val="Heading2"/>
      </w:pPr>
      <w:r>
        <w:t>Slide 32 — Maîtriser le coût réel de l'IA et construire nos abaques (≈2 min 30)</w:t>
      </w:r>
    </w:p>
    <w:p>
      <w:r>
        <w:rPr>
          <w:b/>
        </w:rPr>
        <w:t>Punchline d'ouverture :</w:t>
      </w:r>
      <w:r>
        <w:t xml:space="preserve"> « Vendre un résultat, ce n'est pas un geste commercial. C'est prendre à notre charge le risque que le client, lui, a toujours refusé de porter. »</w:t>
      </w:r>
    </w:p>
    <w:p>
      <w:r>
        <w:t>Réfléchissez à pourquoi un client aime le prix fixe. Ce n'est pas par confort. C'est parce qu'il vous refile deux risques d'un coup : le risque que ça prenne plus de temps que prévu, et le risque que l'IA en dessous coûte plus cher que prévu. En prix fixe, ces deux risques sont pour nous.</w:t>
      </w:r>
    </w:p>
    <w:p>
      <w:r>
        <w:t>Et ces risques sont énormes. 96 % des déploiements d'IA générative dépassent leur budget. Quatre-vingt-seize pour cent. Le piège est vicieux, et il est nouveau : notre prix est fixe, mais notre coût, lui, est variable. Regardez Sierra, l'entreprise de Bret Taylor, l'un des grands succès de la vente au résultat. Ils ont un problème contre-intuitif : chez eux, « les coûts montent à mesure que l'agent s'améliore ». Plus l'agent est bon, plus il traite de cas, plus il consomme de tokens — et plus la marge se comprime. Le succès leur coûte de l'argent.</w:t>
      </w:r>
    </w:p>
    <w:p>
      <w:r>
        <w:t>Alors qu'est-ce qu'on fait ? On fait ce qu'aucune ESN ne sait faire aujourd'hui : on raisonne en coût complet par unité de résultat livrée. Pas en jours-hommes — en coût réel d'une fonctionnalité, d'un agent déployé, d'un ticket résolu, tokens compris. C'est ça, construire nos abaques par type de mission. Et je veux qu'on ait un temps d'avance, parce qu'il y a une bombe à retardement dans le prix du compute : aujourd'hui, personne ne sait à quelle vitesse les cartes graphiques perdent vraiment de la valeur. Michael Burry chiffre l'écart à 176 milliards de dollars sur trois ans. Traduction : le prix du GPU qu'on paie aujourd'hui est peut-être subventionné, et il va monter. Nos abaques doivent l'anticiper.</w:t>
      </w:r>
    </w:p>
    <w:p>
      <w:r>
        <w:t>Et il y a une offre là-dedans qui est vendable dès demain matin : le FinOps de l'IA. C'est le résultat le plus facile à prouver qui soit. 98 % des entreprises gèrent désormais des coûts d'IA, contre 31 % il y a deux ans. Le gaspillage cloud est reparti à la hausse, à 29 %. Sur ce terrain, on n'a pas besoin de vendre des jours : on peut s'engager sur un chiffre, « moins tant de pourcents sur votre facture cloud et IA ». C'est mesurable, c'est attribuable, c'est urgent.</w:t>
      </w:r>
    </w:p>
    <w:p>
      <w:r>
        <w:t xml:space="preserve">Le vrai positionnement, le voilà, et il tient en une phrase : </w:t>
      </w:r>
      <w:r>
        <w:rPr>
          <w:b/>
        </w:rPr>
        <w:t>on vous vend un résultat parce qu'on sait chiffrer le coût réel de l'IA que vous, vous ne savez pas prévoir.</w:t>
      </w:r>
    </w:p>
    <w:p>
      <w:r>
        <w:rPr>
          <w:b/>
        </w:rPr>
        <w:t>Transition :</w:t>
      </w:r>
      <w:r>
        <w:t xml:space="preserve"> « Une fois qu'on maîtrise notre coût, on peut aller vendre le résultat pour de bon. Mais attention — c'est là que le terrain devient piégeux. »</w:t>
      </w:r>
    </w:p>
    <w:p>
      <w:pPr>
        <w:pStyle w:val="Heading2"/>
      </w:pPr>
      <w:r>
        <w:t>Slide 33 — Augmenter les missions vendues à la valeur ou à l'usage (≈3 min)</w:t>
      </w:r>
    </w:p>
    <w:p>
      <w:r>
        <w:rPr>
          <w:b/>
        </w:rPr>
        <w:t>Punchline d'ouverture :</w:t>
      </w:r>
      <w:r>
        <w:t xml:space="preserve"> « Dans la vente au résultat, la bagarre ne porte jamais sur le prix. Elle porte sur un seul mot : qu'est-ce qu'un résultat ? »</w:t>
      </w:r>
    </w:p>
    <w:p>
      <w:r>
        <w:t>Laissez-moi vous raconter deux histoires, une qui finit bien, une qui finit mal.</w:t>
      </w:r>
    </w:p>
    <w:p>
      <w:r>
        <w:t>La bonne d'abord. Chargeflow récupère des impayés pour des e-commerçants. Leur tarif : 25 % de ce qu'ils récupèrent, et zéro si rien n'est récupéré. C'est le cas parfait. Pourquoi ? Parce que le résultat est binaire, il est en euros, et il est directement imputable à eux. Soit l'argent revient, soit il ne revient pas. Personne ne discute.</w:t>
      </w:r>
    </w:p>
    <w:p>
      <w:r>
        <w:t>Maintenant la mauvaise. Intercom vend un agent qui répond aux clients, à 99 centimes la « résolution ». Vous ne payez que quand ça marche — génial, non ? Sauf qu'une « résolution », chez eux, c'est défini par défaut comme : le client n'a pas répondu pendant 24 heures. Vous voyez le problème ? Un client tellement énervé qu'il claque la porte et ne répond plus… est facturé comme un succès. Le silence compte comme une victoire. Résultat : la plainte numéro un des clients d'Intercom, elle est sur le propre forum d'Intercom. Toute la valeur qu'ils croyaient créer part en litige sur la définition du mot « résolution ».</w:t>
      </w:r>
    </w:p>
    <w:p>
      <w:r>
        <w:t>Et pendant qu'on y est, méfiez-vous du piège inverse — celui d'optimiser la métrique au lieu du résultat. Souvenez-vous de Klarna. En 2024, ils annoncent fièrement que leur IA fait le travail de 700 agents. Quatorze mois plus tard, le PDG fait machine arrière et réembauche des humains, parce que la qualité s'était effondrée. Si vous vous payez au nombre de « résolutions » et que vous poussez l'automatisation à fond pour gonfler ce nombre, vous fabriquez mécaniquement des faux succès. Vous optimisez le compteur, pas le client.</w:t>
      </w:r>
    </w:p>
    <w:p>
      <w:r>
        <w:t>Donc, si on veut vendre au résultat sans se faire mal, il nous faut trois garde-fous, à chaque fois, non négociables. Un : une définition contractuelle en béton de ce qui compte comme résultat. Deux : une attribution claire — qui a produit le gain, nous, le client, ou son marché ? Parce qu'un résultat, comme dit Everest, « est rarement produit par une seule partie ». Trois : un coût unitaire maîtrisé, tokens compris, pour ne jamais sous-marger — et là on boucle avec les abaques de tout à l'heure.</w:t>
      </w:r>
    </w:p>
    <w:p>
      <w:r>
        <w:t>C'est exigeant. Mais c'est précisément parce que c'est exigeant que c'est défendable : si c'était facile, tout le monde le ferait, et il n'y aurait pas de marge à prendre.</w:t>
      </w:r>
    </w:p>
    <w:p>
      <w:r>
        <w:rPr>
          <w:b/>
        </w:rPr>
        <w:t>Transition :</w:t>
      </w:r>
      <w:r>
        <w:t xml:space="preserve"> « Et il y a un dernier levier, peut-être le plus sous-estimé, pour vendre de la valeur sans tout construire nous-mêmes. »</w:t>
      </w:r>
    </w:p>
    <w:p>
      <w:pPr>
        <w:pStyle w:val="Heading2"/>
      </w:pPr>
      <w:r>
        <w:t>Slide 34 — Développer le resell avec 1 ou 2 partenaires stratégiques (≈2 min 30)</w:t>
      </w:r>
    </w:p>
    <w:p>
      <w:r>
        <w:rPr>
          <w:b/>
        </w:rPr>
        <w:t>Punchline d'ouverture :</w:t>
      </w:r>
      <w:r>
        <w:t xml:space="preserve"> « On n'est pas obligés de tout fabriquer. Parfois, la plus grande valeur, c'est de choisir, d'intégrer et de garantir la bonne techno — pas de la réinventer. »</w:t>
      </w:r>
    </w:p>
    <w:p>
      <w:r>
        <w:t>Le métier rentable est en train de se déplacer. Le fournisseur de bras, c'est fini — ça, soit le client le reprend en interne avec l'IA, soit il monte ses propres centres. Le rôle qui gagne, c'est celui du bâtisseur-opérateur : celui qui construit une capacité, l'opère, la sécurise, et en répond. Et une partie de ce rôle, c'est le resell : revendre et intégrer les meilleures technologies du marché, avec un ou deux partenaires stratégiques, plutôt que de disperser nos forces.</w:t>
      </w:r>
    </w:p>
    <w:p>
      <w:r>
        <w:t>Et là, on a un atout que quasiment aucune ESN française ne peut égaler : on appartient à Accenture. Ça veut dire quoi concrètement ? Un accès direct aux tout premiers rangs — Anthropic, avec le plus grand déploiement de Claude Code jamais réalisé ; Google Gemini Enterprise ; Microsoft ; OpenAI ; AWS. Une ESN indépendante de notre taille ne met pas un pied dans ces pièces-là. Nous, si. Ajoutez la plateforme AI Refinery et sa version souveraine « for Europe », un plan de formation à un milliard de dollars avec 550 000 personnes déjà formées à l'IA générative. C'est un levier, et il serait absurde de ne pas s'en servir.</w:t>
      </w:r>
    </w:p>
    <w:p>
      <w:r>
        <w:t>Alors soyons lucides, parce que vous y pensez — moi le premier. On vend de la souveraineté française en étant la filiale d'un groupe coté à New York, soumis au CLOUD Act. La réponse, ce n'est pas de faire semblant que la question n'existe pas. C'est de jouer ce qu'on peut vraiment tenir : la souveraineté opérationnelle — des données qui restent en Europe, opérées localement, avec notre expertise — sans jamais promettre une souveraineté juridique qu'on ne maîtrise pas. Dire ce qu'on tient, tenir ce qu'on dit. Sur les segments les plus sensibles, on sera honnêtes sur ce qui est adressable et ce qui ne l'est pas.</w:t>
      </w:r>
    </w:p>
    <w:p>
      <w:r>
        <w:rPr>
          <w:b/>
        </w:rPr>
        <w:t>Transition (et clôture de l'Ambition 4) :</w:t>
      </w:r>
      <w:r>
        <w:t xml:space="preserve"> « Mettons tout ça bout à bout. »</w:t>
      </w:r>
    </w:p>
    <w:p>
      <w:r>
        <w:rPr>
          <w:b/>
        </w:rPr>
        <w:t>Phrase de clôture forte :</w:t>
      </w:r>
      <w:r>
        <w:t xml:space="preserve"> « On maîtrise notre coût, donc on ose vendre un résultat. On définit ce résultat au mot près, donc on ne se fait pas piéger. Et on s'appuie sur le meilleur du marché, donc on va plus vite et plus loin que seuls. Le marché a réévalué la valeur de notre temps — d'accord. Alors on ne vendra plus notre temps. On vendra ce qu'on sait faire mieux que quiconque : un résultat, maîtrisé, sécurisé, et dont on répond. À nous de jouer. »</w:t>
      </w:r>
    </w:p>
    <w:p>
      <w:r>
        <w:t>*Sources : étude interne « Le secteur des ESN : des forces au repositionnement » (v3, sept. 2026) et notes de recherche associées. Chiffres 2026 à revérifier sur source primaire avant tout usage externe « board » — voir la note de méthode &amp; fiabilité de l'étude (notamment SaaSpocalypse/285 Md$, statistiques Retool/Forrester build vs buy, exposition LiteLLM, taux de vulnérabilité du code IA, et pourcentages outcome-based auto-déclarés des cabinets MBB).*</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675"/>
        <w:sz w:val="16"/>
      </w:rPr>
      <w:t>Octo Technology · Companion Plénière FY27 · document interne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i w:val="0"/>
      <w:color w:val="12233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B5CC4"/>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i w:val="0"/>
      <w:color w:val="1223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1223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