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word/stylesWithEffects.xml" ContentType="application/vnd.ms-word.stylesWithEffects+xml"/>
  <Override PartName="/word/webSettings.xml" ContentType="application/vnd.openxmlformats-officedocument.wordprocessingml.webSettings+xml"/>
  <Override PartName="/docProps/thumbnail.jpeg" ContentType="image/jpeg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thumbnail" Target="docProps/thumbnail.jpeg"/><Relationship Id="rId2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keepNext w:val="0"/>
        <w:widowControl/>
        <w:spacing w:before="200" w:after="200" w:line="254" w:lineRule="auto"/>
        <w:jc w:val="left"/>
        <w:rPr>
          <w:rFonts w:ascii="Calibri" w:hAnsi="Calibri"/>
          <w:b/>
          <w:color w:val="64748B"/>
          <w:sz w:val="21"/>
        </w:rPr>
      </w:pPr>
      <w:r>
        <w:rPr>
          <w:rFonts w:ascii="Calibri" w:hAnsi="Calibri"/>
          <w:b/>
          <w:color w:val="64748B"/>
          <w:sz w:val="21"/>
        </w:rPr>
        <w:t xml:space="preserve">Kiformatou</w:t>
      </w:r>
    </w:p>
    <w:p>
      <w:pPr>
        <w:keepNext w:val="0"/>
        <w:widowControl/>
        <w:spacing w:before="0" w:after="400" w:line="254" w:lineRule="auto"/>
        <w:jc w:val="left"/>
      </w:pPr>
      <w:r>
        <w:rPr>
          <w:rFonts w:ascii="Calibri" w:hAnsi="Calibri"/>
          <w:b/>
          <w:color w:val="0078D4"/>
          <w:spacing w:val="28"/>
          <w:sz w:val="18"/>
        </w:rPr>
        <w:t xml:space="preserve">DOCUMENTATION TECHNIQUE</w:t>
      </w:r>
    </w:p>
    <w:p>
      <w:pPr>
        <w:pStyle w:val="Title"/>
        <w:keepNext w:val="0"/>
        <w:widowControl/>
        <w:spacing w:before="0" w:after="280" w:line="254" w:lineRule="auto"/>
        <w:jc w:val="left"/>
        <w:rPr>
          <w:rFonts w:ascii="Calibri" w:hAnsi="Calibri"/>
          <w:b/>
          <w:color w:val="0078D4"/>
          <w:sz w:val="68"/>
        </w:rPr>
      </w:pPr>
      <w:r>
        <w:rPr>
          <w:rFonts w:ascii="Calibri" w:hAnsi="Calibri"/>
          <w:b/>
          <w:color w:val="0078D4"/>
          <w:sz w:val="68"/>
        </w:rPr>
        <w:t xml:space="preserve">Mise en place d’une infrastructure virtualisée</w:t>
      </w:r>
    </w:p>
    <w:p>
      <w:pPr>
        <w:pStyle w:val="Subtitle"/>
        <w:keepNext w:val="0"/>
        <w:widowControl/>
        <w:spacing w:before="0" w:after="0" w:line="254" w:lineRule="auto"/>
        <w:jc w:val="left"/>
        <w:rPr>
          <w:rFonts w:ascii="Calibri" w:hAnsi="Calibri"/>
          <w:b w:val="0"/>
          <w:color w:val="0078D4"/>
          <w:sz w:val="34"/>
        </w:rPr>
      </w:pPr>
      <w:r>
        <w:rPr>
          <w:rFonts w:ascii="Calibri" w:hAnsi="Calibri"/>
          <w:b w:val="0"/>
          <w:color w:val="0078D4"/>
          <w:sz w:val="34"/>
        </w:rPr>
        <w:t xml:space="preserve">Procédures</w:t>
      </w:r>
    </w:p>
    <w:p>
      <w:pPr>
        <w:spacing w:before="240" w:after="0"/>
        <w:jc w:val="left"/>
      </w:pPr>
      <w:sdt>
        <w:sdtPr>
          <w:alias w:val="Image de couverture — cliquez pour remplacer"/>
          <w:tag w:val="cover_image_replaceable"/>
          <w:id w:val="192783601"/>
          <w:picture/>
        </w:sdtPr>
        <w:sdtContent>
          <w:r>
            <w:drawing>
              <wp:inline distT="0" distB="0" distL="0" distR="0">
                <wp:extent cx="6012000" cy="6012000"/>
                <wp:effectExtent l="0" t="0" r="0" b="0"/>
                <wp:docPr id="1" name="Picture 1" descr="Emplacement pour une illustration ou une capture de votre choix"/>
                <wp:cNvGraphicFramePr/>
                <a:graphic>
                  <a:graphicData uri="http://schemas.openxmlformats.org/drawingml/2006/picture">
                    <pic:pic>
                      <pic:nvPicPr>
                        <pic:cNvPr id="0" name="image3.png" descr="Emplacement pour une illustration ou une capture de votre choix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12000" cy="601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sdtContent>
      </w:sdt>
    </w:p>
    <w:p>
      <w:pPr>
        <w:pStyle w:val="Covermeta"/>
        <w:keepNext w:val="0"/>
        <w:widowControl/>
        <w:spacing w:before="269" w:after="280" w:line="254" w:lineRule="auto"/>
        <w:jc w:val="left"/>
      </w:pPr>
      <w:r>
        <w:rPr>
          <w:rFonts w:ascii="Calibri" w:hAnsi="Calibri"/>
          <w:b/>
          <w:bCs/>
          <w:color w:val="1E293B"/>
          <w:sz w:val="20"/>
        </w:rPr>
        <w:t xml:space="preserve">Version</w:t>
      </w:r>
      <w:r>
        <w:rPr>
          <w:rFonts w:ascii="Calibri" w:hAnsi="Calibri"/>
          <w:b w:val="0"/>
          <w:color w:val="1E293B"/>
          <w:sz w:val="20"/>
        </w:rPr>
        <w:t xml:space="preserve"> : Windows 11 • </w:t>
      </w:r>
      <w:r>
        <w:rPr>
          <w:rFonts w:ascii="Calibri" w:hAnsi="Calibri"/>
          <w:b/>
          <w:bCs/>
          <w:color w:val="1E293B"/>
          <w:sz w:val="20"/>
        </w:rPr>
        <w:t xml:space="preserve">Date</w:t>
      </w:r>
      <w:r>
        <w:rPr>
          <w:rFonts w:ascii="Calibri" w:hAnsi="Calibri"/>
          <w:b w:val="0"/>
          <w:color w:val="1E293B"/>
          <w:sz w:val="20"/>
        </w:rPr>
        <w:t xml:space="preserve"> : 29/10/2026 • </w:t>
      </w:r>
      <w:r>
        <w:rPr>
          <w:rFonts w:ascii="Calibri" w:hAnsi="Calibri"/>
          <w:b/>
          <w:bCs/>
          <w:color w:val="1E293B"/>
          <w:sz w:val="20"/>
        </w:rPr>
        <w:t xml:space="preserve">Auteur(s)</w:t>
      </w:r>
      <w:r>
        <w:rPr>
          <w:rFonts w:ascii="Calibri" w:hAnsi="Calibri"/>
          <w:b w:val="0"/>
          <w:color w:val="1E293B"/>
          <w:sz w:val="20"/>
        </w:rPr>
        <w:t xml:space="preserve"> : Nathan Yang</w:t>
      </w:r>
    </w:p>
    <w:p>
      <w:r>
        <w:br w:type="page"/>
      </w:r>
    </w:p>
    <w:p>
      <w:pPr>
        <w:sectPr>
          <w:headerReference w:type="first" r:id="rId2"/>
          <w:type w:val="nextPage"/>
          <w:pgSz w:w="11906" w:h="16838"/>
          <w:pgMar w:top="1134" w:right="1191" w:bottom="1020" w:left="1191" w:header="454" w:footer="454" w:gutter="0"/>
          <w:cols w:space="720" w:num="1"/>
          <w:titlePg/>
          <w:docGrid w:linePitch="360"/>
        </w:sectPr>
      </w:pPr>
    </w:p>
    <w:p>
      <w:pPr>
        <w:pStyle w:val="Title"/>
        <w:spacing w:after="440"/>
      </w:pPr>
      <w:r>
        <w:rPr>
          <w:sz w:val="52"/>
        </w:rPr>
        <w:t xml:space="preserve">Table des matières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9514"/>
            </w:tabs>
          </w:pPr>
        </w:p>
        <w:p>
          <w:pPr>
            <w:pStyle w:val="TOC1"/>
            <w:tabs>
              <w:tab w:val="right" w:leader="dot" w:pos="951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000000001" w:history="1">
            <w:r>
              <w:t xml:space="preserve">1. Présentation du projet</w:t>
              <w:tab/>
              <w:t xml:space="preserve">4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05" w:history="1">
            <w:r>
              <w:t xml:space="preserve">2.  Architecture</w:t>
              <w:tab/>
              <w:t xml:space="preserve">4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09" w:history="1">
            <w:r>
              <w:t xml:space="preserve">3.  Préparation de Hyper-V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5" w:history="1">
            <w:r>
              <w:t xml:space="preserve">3.1. Activer Hyper-V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6" w:history="1">
            <w:r>
              <w:t xml:space="preserve">3.2. Vérifier l’activation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7" w:history="1">
            <w:r>
              <w:t xml:space="preserve">3.3. Créer les vNICS</w:t>
              <w:tab/>
              <w:t xml:space="preserve">5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13" w:history="1">
            <w:r>
              <w:t xml:space="preserve">X. Utilisation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8" w:history="1">
            <w:r>
              <w:t xml:space="preserve">X.1. Créer une VM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9" w:history="1">
            <w:r>
              <w:t xml:space="preserve">X.2. Créer un vSwitch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0" w:history="1">
            <w:r>
              <w:t xml:space="preserve">X.3. Exporter une VM vers un hôte Hyper-V</w:t>
              <w:tab/>
              <w:t xml:space="preserve">5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21" w:history="1">
            <w:r>
              <w:t xml:space="preserve">6.  Support et références</w:t>
              <w:tab/>
              <w:t xml:space="preserve">6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1" w:history="1">
            <w:r>
              <w:t xml:space="preserve">6.1. Diagnostic et support</w:t>
              <w:tab/>
              <w:t xml:space="preserve">6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2" w:history="1">
            <w:r>
              <w:t xml:space="preserve">6.2. Glossaire</w:t>
              <w:tab/>
              <w:t xml:space="preserve">6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3" w:history="1">
            <w:r>
              <w:t xml:space="preserve">6.3. Références</w:t>
              <w:tab/>
              <w:t xml:space="preserve">6</w:t>
            </w:r>
          </w:hyperlink>
          <w:r>
            <w:fldChar w:fldCharType="end"/>
          </w:r>
        </w:p>
      </w:sdtContent>
    </w:sdt>
    <w:p>
      <w:pPr>
        <w:pStyle w:val="TOCHeading"/>
      </w:pPr>
    </w:p>
    <w:p>
      <w:r>
        <w:br w:type="page"/>
      </w:r>
    </w:p>
    <w:p>
      <w:pPr>
        <w:pStyle w:val="Heading1"/>
        <w:spacing w:before="0"/>
      </w:pPr>
      <w:bookmarkStart w:id="0" w:name="_Toc000000001"/>
      <w:bookmarkStart w:id="1" w:name="azure_section_1"/>
      <w:r>
        <w:t xml:space="preserve">1. Présentation du projet</w:t>
      </w:r>
      <w:bookmarkEnd w:id="1"/>
      <w:bookmarkEnd w:id="0"/>
    </w:p>
    <w:p>
      <w:pPr>
        <w:rPr>
          <w:b w:val="0"/>
          <w:bCs w:val="0"/>
        </w:rPr>
      </w:pPr>
      <w:r>
        <w:rPr>
          <w:b w:val="0"/>
          <w:bCs w:val="0"/>
        </w:rPr>
        <w:t xml:space="preserve">Cette documentation vise à accompagner le personnel informatique à mettre en place l’infrastructure de l’école Kiformatou. Le projet est limité par une configuration de 32 Go de RAM et 475 Go de stockage.</w:t>
      </w:r>
    </w:p>
    <w:p/>
    <w:p>
      <w:pPr>
        <w:pStyle w:val="Heading1"/>
        <w:spacing w:before="0"/>
      </w:pPr>
      <w:bookmarkStart w:id="2" w:name="_Toc000000005"/>
      <w:bookmarkStart w:id="3" w:name="azure_section_5"/>
      <w:r>
        <w:t xml:space="preserve">2.  Architecture</w:t>
      </w:r>
      <w:bookmarkEnd w:id="3"/>
      <w:bookmarkEnd w:id="2"/>
    </w:p>
    <w:p>
      <w:pPr>
        <w:pStyle w:val="Normal"/>
        <w:rPr>
          <w:i w:val="0"/>
          <w:iCs w:val="0"/>
        </w:rPr>
      </w:pPr>
      <w:r>
        <w:rPr>
          <w:i w:val="0"/>
          <w:iCs w:val="0"/>
        </w:rPr>
        <w:t xml:space="preserve">L’infrastructure respectera l’architecture tant au niveau du plan d’adressage IP et organisation des appareils :</w:t>
      </w:r>
    </w:p>
    <w:p>
      <w:pPr>
        <w:pStyle w:val="Normal"/>
        <w:rPr>
          <w:i w:val="0"/>
          <w:iCs w:val="0"/>
        </w:rPr>
      </w:pPr>
      <w:r>
        <w:rPr>
          <w:i w:val="0"/>
          <w:iCs w:val="0"/>
        </w:rPr>
        <w:drawing>
          <wp:inline distT="0" distB="0" distL="0" distR="0">
            <wp:extent cx="6047740" cy="5322947"/>
            <wp:effectExtent l="0" t="0" r="0" b="0"/>
            <wp:docPr id="2" name="Picture 2" descr=""/>
            <wp:cNvGraphicFramePr/>
            <a:graphic>
              <a:graphicData uri="http://schemas.openxmlformats.org/drawingml/2006/picture">
                <pic:pic>
                  <pic:nvPicPr>
                    <pic:cNvPr id="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532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/>
      </w:pPr>
      <w:bookmarkStart w:id="4" w:name="_Toc000000009"/>
      <w:bookmarkStart w:id="5" w:name="azure_section_9"/>
      <w:r>
        <w:t xml:space="preserve">3.  Préparation de Hyper-V</w:t>
      </w:r>
      <w:bookmarkEnd w:id="5"/>
      <w:bookmarkEnd w:id="4"/>
    </w:p>
    <w:p>
      <w:pPr>
        <w:pStyle w:val="Heading2"/>
      </w:pPr>
      <w:bookmarkStart w:id="6" w:name="_Toc000000025"/>
      <w:r>
        <w:t xml:space="preserve">3.1. Activer Hyper-V</w:t>
      </w:r>
      <w:bookmarkEnd w:id="6"/>
    </w:p>
    <w:p>
      <w:pPr>
        <w:pStyle w:val="Heading2"/>
      </w:pPr>
      <w:bookmarkStart w:id="7" w:name="_Toc000000026"/>
      <w:r>
        <w:t xml:space="preserve">3.2. Vérifier l’activation</w:t>
      </w:r>
      <w:bookmarkEnd w:id="7"/>
    </w:p>
    <w:p>
      <w:pPr>
        <w:pStyle w:val="Heading2"/>
      </w:pPr>
      <w:bookmarkStart w:id="8" w:name="_Toc000000027"/>
      <w:r>
        <w:t xml:space="preserve">3.3. Créer les vNICS</w:t>
      </w:r>
      <w:bookmarkEnd w:id="8"/>
    </w:p>
    <w:tbl>
      <w:tblPr>
        <w:tblStyle w:val="TableGrid"/>
        <w:tblpPr w:leftFromText="180" w:rightFromText="180" w:topFromText="0" w:bottomFromText="0" w:vertAnchor="text" w:horzAnchor="text" w:tblpX="261" w:tblpY="87"/>
        <w:tblW w:w="0" w:type="auto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val="04A0" w:firstRow="1" w:lastRow="0" w:firstColumn="1" w:lastColumn="0" w:noHBand="0" w:noVBand="1"/>
      </w:tblPr>
      <w:tblGrid>
        <w:gridCol w:w="9524"/>
      </w:tblGrid>
      <w:tr>
        <w:trPr>
          <w:trHeight w:val="460" w:hRule="atLeast"/>
        </w:trPr>
        <w:tc>
          <w:tcPr>
            <w:tcW w:w="9524" w:type="dxa"/>
            <w:shd w:val="clear" w:color="auto" w:fill="CCCCCC"/>
          </w:tcPr>
          <w:p>
            <w:pPr>
              <w:rPr>
                <w:noProof/>
              </w:rPr>
            </w:pPr>
            <w:r>
              <w:rPr>
                <w:noProof/>
              </w:rPr>
              <w:t xml:space="preserve">Get-VMSwitch</w:t>
            </w:r>
          </w:p>
        </w:tc>
      </w:tr>
    </w:tbl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</w:pPr>
      <w:bookmarkStart w:id="9" w:name="_Toc000000013"/>
      <w:bookmarkStart w:id="10" w:name="azure_section_13"/>
      <w:r>
        <w:t xml:space="preserve">X. Utilisation</w:t>
      </w:r>
      <w:bookmarkEnd w:id="10"/>
      <w:bookmarkEnd w:id="9"/>
    </w:p>
    <w:p>
      <w:pPr>
        <w:pStyle w:val="Instruction"/>
      </w:pPr>
    </w:p>
    <w:p>
      <w:pPr>
        <w:pStyle w:val="Heading2"/>
      </w:pPr>
      <w:bookmarkStart w:id="11" w:name="_Toc000000028"/>
      <w:r>
        <w:t xml:space="preserve">X.1. Créer une VM</w:t>
      </w:r>
      <w:bookmarkEnd w:id="11"/>
    </w:p>
    <w:p>
      <w:pPr>
        <w:rPr>
          <w:b/>
        </w:rPr>
      </w:pPr>
    </w:p>
    <w:p>
      <w:pPr>
        <w:pStyle w:val="Heading2"/>
      </w:pPr>
      <w:bookmarkStart w:id="12" w:name="_Toc000000029"/>
      <w:r>
        <w:t xml:space="preserve">X.2. Créer un vSwitch</w:t>
      </w:r>
      <w:bookmarkEnd w:id="12"/>
    </w:p>
    <w:p>
      <w:pPr>
        <w:rPr>
          <w:b/>
        </w:rPr>
      </w:pPr>
    </w:p>
    <w:p>
      <w:pPr>
        <w:pStyle w:val="Heading2"/>
      </w:pPr>
      <w:bookmarkStart w:id="13" w:name="_Toc000000030"/>
      <w:r>
        <w:t xml:space="preserve">X.3. Exporter une VM vers un hôte Hyper-V</w:t>
      </w:r>
      <w:bookmarkEnd w:id="13"/>
    </w:p>
    <w:p>
      <w:pPr>
        <w:rPr>
          <w:b/>
        </w:rPr>
      </w:pPr>
    </w:p>
    <w:p>
      <w:r>
        <w:br w:type="page"/>
      </w:r>
    </w:p>
    <w:p>
      <w:pPr>
        <w:pStyle w:val="Heading1"/>
      </w:pPr>
      <w:bookmarkStart w:id="14" w:name="_Toc000000021"/>
      <w:bookmarkStart w:id="15" w:name="azure_section_21"/>
      <w:r>
        <w:t xml:space="preserve">6.  Support et références</w:t>
      </w:r>
      <w:bookmarkEnd w:id="15"/>
      <w:bookmarkEnd w:id="14"/>
    </w:p>
    <w:p>
      <w:pPr>
        <w:pStyle w:val="Heading2"/>
      </w:pPr>
      <w:bookmarkStart w:id="16" w:name="_Toc000000031"/>
      <w:r>
        <w:t xml:space="preserve">6.1. </w:t>
      </w:r>
      <w:bookmarkStart w:id="17" w:name="_Toc000000023"/>
      <w:bookmarkStart w:id="18" w:name="azure_section_23"/>
      <w:r>
        <w:t xml:space="preserve">Diagnostic et support</w:t>
      </w:r>
      <w:bookmarkEnd w:id="18"/>
      <w:bookmarkEnd w:id="17"/>
      <w:bookmarkEnd w:id="16"/>
    </w:p>
    <w:p>
      <w:r>
        <w:rPr>
          <w:b/>
        </w:rPr>
        <w:t xml:space="preserve">Journaux  </w:t>
      </w:r>
      <w:r>
        <w:t xml:space="preserve">[Emplacement ; accès ; rétention ; requête utile.]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3628"/>
        <w:gridCol w:w="3572"/>
      </w:tblGrid>
      <w:tr>
        <w:trPr>
          <w:cantSplit/>
          <w:tblHeader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78D4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/>
                <w:color w:val="FFFFFF"/>
                <w:sz w:val="20"/>
              </w:rPr>
              <w:t xml:space="preserve">Symptôme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78D4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/>
                <w:color w:val="FFFFFF"/>
                <w:sz w:val="20"/>
              </w:rPr>
              <w:t xml:space="preserve">Vérification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78D4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/>
                <w:color w:val="FFFFFF"/>
                <w:sz w:val="20"/>
              </w:rPr>
              <w:t xml:space="preserve">Action ou escalade</w:t>
            </w:r>
          </w:p>
        </w:tc>
      </w:tr>
      <w:tr>
        <w:trPr>
          <w:cantSplit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[Accès impossible]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[Réseau ; identité ; état du service]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[Action documentée ; contact]</w:t>
            </w:r>
          </w:p>
        </w:tc>
      </w:tr>
      <w:tr>
        <w:trPr>
          <w:cantSplit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7FC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[Erreur ou lenteur]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7FC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[Journaux ; ressources ; dépendances]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7FC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[Action documentée ; contact]</w:t>
            </w:r>
          </w:p>
        </w:tc>
      </w:tr>
    </w:tbl>
    <w:p>
      <w:pPr>
        <w:spacing w:before="0" w:after="0" w:line="80" w:lineRule="exact"/>
      </w:pPr>
    </w:p>
    <w:p>
      <w:r>
        <w:rPr>
          <w:b/>
        </w:rPr>
        <w:t xml:space="preserve">Support  </w:t>
      </w:r>
      <w:r>
        <w:t xml:space="preserve">[Équipe ; canal ; horaires ; informations à fournir au ticket.]</w:t>
      </w:r>
    </w:p>
    <w:p>
      <w:pPr>
        <w:pStyle w:val="Heading2"/>
      </w:pPr>
    </w:p>
    <w:p>
      <w:pPr>
        <w:pStyle w:val="Heading2"/>
      </w:pPr>
      <w:bookmarkStart w:id="19" w:name="_Toc000000032"/>
      <w:r>
        <w:t xml:space="preserve">6.2. Glossaire</w:t>
      </w:r>
      <w:bookmarkEnd w:id="19"/>
    </w:p>
    <w:p>
      <w:pPr>
        <w:pStyle w:val="ListParagraph"/>
        <w:numPr>
          <w:ilvl w:val="0"/>
          <w:numId w:val="10"/>
        </w:numPr>
        <w:rPr>
          <w:b w:val="0"/>
          <w:bCs w:val="0"/>
        </w:rPr>
      </w:pPr>
      <w:r>
        <w:rPr>
          <w:b/>
          <w:bCs/>
        </w:rPr>
        <w:t xml:space="preserve">VM</w:t>
      </w:r>
      <w:r>
        <w:rPr>
          <w:b w:val="0"/>
          <w:bCs w:val="0"/>
        </w:rPr>
        <w:t xml:space="preserve"> : Machine Virtuelle (Virtual Machine)</w:t>
      </w:r>
    </w:p>
    <w:p>
      <w:pPr>
        <w:pStyle w:val="ListParagraph"/>
        <w:numPr>
          <w:ilvl w:val="0"/>
          <w:numId w:val="10"/>
        </w:numPr>
        <w:rPr>
          <w:b/>
        </w:rPr>
      </w:pPr>
    </w:p>
    <w:p>
      <w:pPr>
        <w:pStyle w:val="Normal"/>
      </w:pPr>
    </w:p>
    <w:p>
      <w:pPr>
        <w:pStyle w:val="Heading2"/>
      </w:pPr>
      <w:bookmarkStart w:id="20" w:name="_Toc000000033"/>
      <w:r>
        <w:t xml:space="preserve">6.3. </w:t>
      </w:r>
      <w:bookmarkStart w:id="21" w:name="_Toc000000024"/>
      <w:bookmarkStart w:id="22" w:name="azure_section_24"/>
      <w:r>
        <w:t xml:space="preserve">Références</w:t>
      </w:r>
      <w:bookmarkEnd w:id="20"/>
    </w:p>
    <w:p>
      <w:pPr>
        <w:pStyle w:val="Normal"/>
      </w:pPr>
      <w:r>
        <w:rPr>
          <w:b/>
        </w:rPr>
        <w:t xml:space="preserve">Documentations  </w:t>
      </w:r>
      <w:r>
        <w:t xml:space="preserve">: </w:t>
      </w:r>
    </w:p>
    <w:p>
      <w:pPr>
        <w:pStyle w:val="ListParagraph"/>
        <w:numPr>
          <w:ilvl w:val="0"/>
          <w:numId w:val="10"/>
        </w:numPr>
      </w:pPr>
      <w:hyperlink r:id="rId4" w:history="1">
        <w:r>
          <w:rPr>
            <w:rStyle w:val="Hyperlink"/>
          </w:rPr>
          <w:t xml:space="preserve">Microsoft. </w:t>
        </w:r>
        <w:r>
          <w:rPr>
            <w:rStyle w:val="Hyperlink"/>
            <w:u w:val="single"/>
          </w:rPr>
          <w:t xml:space="preserve">Documentation de Hyper-V</w:t>
        </w:r>
        <w:r>
          <w:rPr>
            <w:rStyle w:val="Hyperlink"/>
          </w:rPr>
          <w:t xml:space="preserve">. 2026</w:t>
        </w:r>
      </w:hyperlink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Deciso. Virtual &amp; Cloud-Based Installation. 2026.</w:t>
      </w:r>
    </w:p>
    <w:p>
      <w:pPr>
        <w:pStyle w:val="ListParagraph"/>
        <w:numPr>
          <w:ilvl w:val="0"/>
          <w:numId w:val="10"/>
        </w:numPr>
      </w:pPr>
      <w:hyperlink r:id="rId5" w:history="1">
        <w:r>
          <w:rPr>
            <w:rStyle w:val="Hyperlink"/>
          </w:rPr>
          <w:t xml:space="preserve">Microsoft. Configuration requise pour Windows 10. 2026.</w:t>
        </w:r>
      </w:hyperlink>
    </w:p>
    <w:p>
      <w:pPr>
        <w:pStyle w:val="ListParagraph"/>
        <w:numPr>
          <w:ilvl w:val="0"/>
          <w:numId w:val="10"/>
        </w:numPr>
      </w:pPr>
      <w:hyperlink r:id="rId6" w:history="1">
        <w:r>
          <w:rPr>
            <w:rStyle w:val="Hyperlink"/>
          </w:rPr>
          <w:t xml:space="preserve">Microsoft. Configuration matétrielle requise pour Windows Server. 2026.</w:t>
        </w:r>
      </w:hyperlink>
    </w:p>
    <w:p>
      <w:pPr>
        <w:pStyle w:val="Normal"/>
      </w:pPr>
    </w:p>
    <w:p>
      <w:pPr>
        <w:pStyle w:val="Normal"/>
      </w:pPr>
      <w:r>
        <w:rPr>
          <w:b/>
        </w:rPr>
        <w:t xml:space="preserve">Ressources externes</w:t>
      </w:r>
    </w:p>
    <w:p>
      <w:pPr>
        <w:pStyle w:val="ListParagraph"/>
        <w:numPr>
          <w:ilvl w:val="0"/>
          <w:numId w:val="10"/>
        </w:numPr>
        <w:rPr>
          <w:b/>
        </w:rPr>
      </w:pPr>
      <w:r>
        <w:t xml:space="preserve">Installation d’OPNsense</w:t>
      </w:r>
    </w:p>
    <w:sectPr>
      <w:headerReference w:type="default" r:id="rId7"/>
      <w:footerReference w:type="default" r:id="rId8"/>
      <w:type w:val="nextPage"/>
      <w:pgSz w:w="11906" w:h="16838"/>
      <w:pgMar w:top="1134" w:right="1191" w:bottom="1020" w:left="1191" w:header="454" w:footer="454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Footer"/>
      <w:jc w:val="right"/>
    </w:pPr>
    <w:r>
      <w:rPr>
        <w:color w:val="64748B"/>
        <w:sz w:val="16"/>
      </w:rPr>
      <w:t xml:space="preserve">[DOC TECH 001]    /    v[1.0]    /    </w:t>
    </w:r>
    <w:r>
      <w:fldChar w:fldCharType="begin"/>
    </w:r>
    <w:r>
      <w:instrText xml:space="preserve"> PAGE </w:instrText>
    </w:r>
    <w:r>
      <w:fldChar w:fldCharType="separate"/>
    </w:r>
    <w:r>
      <w:t xml:space="preserve"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Header"/>
      <w:spacing w:after="0"/>
    </w:pPr>
    <w:r>
      <w:drawing>
        <wp:anchor distT="0" distB="0" distL="0" distR="0" simplePos="0" relativeHeight="251658241" behindDoc="1" locked="0" layoutInCell="1" allowOverlap="1">
          <wp:simplePos x="0" y="0"/>
          <wp:positionH relativeFrom="page">
            <wp:posOffset>5472000</wp:posOffset>
          </wp:positionH>
          <wp:positionV relativeFrom="page">
            <wp:posOffset>360000</wp:posOffset>
          </wp:positionV>
          <wp:extent cx="2088000" cy="2088000"/>
          <wp:effectExtent l="0" t="0" r="0" b="0"/>
          <wp:wrapNone/>
          <wp:docPr id="3" name="Picture 3" descr="Motif graphique décoratif en bleu tech"/>
          <wp:cNvGraphicFramePr/>
          <a:graphic>
            <a:graphicData uri="http://schemas.openxmlformats.org/drawingml/2006/picture">
              <pic:pic>
                <pic:nvPicPr>
                  <pic:cNvPr id="0" name="image1.png" descr="Motif graphique décoratif en bleu tech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88000" cy="208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Header"/>
    </w:pPr>
    <w:r>
      <w:rPr>
        <w:color w:val="64748B"/>
        <w:sz w:val="16"/>
      </w:rPr>
      <w:t xml:space="preserve">[Organisation]    /    Documentation technique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9">
    <w:multiLevelType w:val="multilevel"/>
    <w:lvl w:ilvl="0">
      <w:start w:val="1"/>
      <w:numFmt w:val="bullet"/>
      <w:lvlText w:val="-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10"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attachedTemplate r:id="rId1"/>
  <w:defaultTabStop w:val="720"/>
  <w:characterSpacingControl w:val="doNotCompress"/>
  <w:savePreviewPicture/>
  <w:footnotePr>
    <w:numFmt w:val="decimal"/>
  </w:footnotePr>
  <w:endnotePr>
    <w:numFmt w:val="lowerRoman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Cambria" w:hAnsi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pacing w:before="0" w:after="140" w:line="264" w:lineRule="auto"/>
    </w:pPr>
    <w:rPr>
      <w:rFonts w:ascii="Calibri" w:hAnsi="Calibri"/>
      <w:b w:val="0"/>
      <w:color w:val="1E293B"/>
      <w:sz w:val="22"/>
      <w:lang w:val="fr-FR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widowControl/>
      <w:spacing w:before="280" w:after="160" w:line="264" w:lineRule="auto"/>
      <w:outlineLvl w:val="0"/>
    </w:pPr>
    <w:rPr>
      <w:rFonts w:ascii="Calibri" w:hAnsi="Calibri"/>
      <w:b/>
      <w:bCs/>
      <w:color w:val="0078D4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widowControl/>
      <w:spacing w:before="280" w:after="160" w:line="264" w:lineRule="auto"/>
      <w:outlineLvl w:val="1"/>
    </w:pPr>
    <w:rPr>
      <w:rFonts w:ascii="Calibri" w:hAnsi="Calibri"/>
      <w:b/>
      <w:bCs w:val="0"/>
      <w:i w:val="0"/>
      <w:color w:val="0078D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widowControl/>
      <w:spacing w:before="280" w:after="160" w:line="264" w:lineRule="auto"/>
      <w:outlineLvl w:val="2"/>
    </w:pPr>
    <w:rPr>
      <w:rFonts w:ascii="Calibri" w:hAnsi="Calibri"/>
      <w:b/>
      <w:bCs/>
      <w:color w:val="0078D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widowControl/>
      <w:spacing w:before="280" w:after="160" w:line="264" w:lineRule="auto"/>
      <w:outlineLvl w:val="3"/>
    </w:pPr>
    <w:rPr>
      <w:rFonts w:ascii="Calibri" w:hAnsi="Calibri"/>
      <w:b w:val="0"/>
      <w:bCs/>
      <w:i/>
      <w:iCs/>
      <w:color w:val="0078D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hAnsi="Calibri"/>
      <w:color w:val="003C6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hAnsi="Calibri"/>
      <w:i/>
      <w:iCs/>
      <w:color w:val="003C6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="Calibri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="Calibri" w:hAnsi="Calibri"/>
      <w:color w:val="0078D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="Calibri" w:hAnsi="Calibri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="Calibri" w:hAnsi="Calibri"/>
      <w:b/>
      <w:bCs/>
      <w:color w:val="005A9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="Calibri" w:hAnsi="Calibri"/>
      <w:b/>
      <w:bCs/>
      <w:color w:val="0078D4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="Calibri" w:hAnsi="Calibri"/>
      <w:b/>
      <w:bCs/>
      <w:color w:val="0078D4"/>
    </w:rPr>
  </w:style>
  <w:style w:type="paragraph" w:styleId="Title">
    <w:name w:val="Title"/>
    <w:basedOn w:val="Normal"/>
    <w:next w:val="Normal"/>
    <w:link w:val="TitleChar"/>
    <w:uiPriority w:val="10"/>
    <w:qFormat/>
    <w:pPr>
      <w:widowControl/>
      <w:pBdr>
        <w:bottom w:val="single" w:sz="8" w:space="4" w:color="4F81BD"/>
      </w:pBdr>
      <w:spacing w:before="0" w:after="320" w:line="264" w:lineRule="auto"/>
      <w:contextualSpacing/>
    </w:pPr>
    <w:rPr>
      <w:rFonts w:ascii="Calibri" w:hAnsi="Calibri"/>
      <w:b/>
      <w:color w:val="0078D4"/>
      <w:spacing w:val="5"/>
      <w:kern w:val="28"/>
      <w:sz w:val="68"/>
      <w:szCs w:val="52"/>
    </w:rPr>
  </w:style>
  <w:style w:type="character" w:styleId="TitleChar" w:customStyle="1">
    <w:name w:val="Title Char"/>
    <w:basedOn w:val="DefaultParagraphFont"/>
    <w:link w:val="Title"/>
    <w:uiPriority w:val="10"/>
    <w:rPr>
      <w:rFonts w:ascii="Calibri" w:hAnsi="Calibri"/>
      <w:color w:val="17375E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widowControl/>
      <w:spacing w:before="0" w:after="240" w:line="264" w:lineRule="auto"/>
    </w:pPr>
    <w:rPr>
      <w:rFonts w:ascii="Calibri" w:hAnsi="Calibri"/>
      <w:b w:val="0"/>
      <w:i/>
      <w:iCs/>
      <w:color w:val="0078D4"/>
      <w:spacing w:val="15"/>
      <w:sz w:val="3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Pr>
      <w:rFonts w:ascii="Calibri" w:hAnsi="Calibri"/>
      <w:i/>
      <w:iCs/>
      <w:color w:val="0078D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ilvl w:val="0"/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ilvl w:val="0"/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ilvl w:val="0"/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ilvl w:val="0"/>
        <w:numId w:val="5"/>
      </w:numPr>
      <w:contextualSpacing/>
    </w:pPr>
  </w:style>
  <w:style w:type="paragraph" w:styleId="ListNumber2">
    <w:name w:val="List Number 2"/>
    <w:basedOn w:val="Normal"/>
    <w:uiPriority w:val="99"/>
    <w:pPr>
      <w:numPr>
        <w:ilvl w:val="0"/>
        <w:numId w:val="6"/>
      </w:numPr>
      <w:contextualSpacing/>
    </w:pPr>
  </w:style>
  <w:style w:type="paragraph" w:styleId="ListNumber3">
    <w:name w:val="List Number 3"/>
    <w:basedOn w:val="Normal"/>
    <w:uiPriority w:val="99"/>
    <w:pPr>
      <w:numPr>
        <w:ilvl w:val="0"/>
        <w:numId w:val="7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unhideWhenUsed/>
    <w:rPr>
      <w:rFonts w:ascii="Calibri" w:hAnsi="Calibri"/>
      <w:b/>
      <w:bCs/>
      <w:i/>
      <w:iCs/>
      <w:color w:val="0078D4"/>
    </w:rPr>
  </w:style>
  <w:style w:type="character" w:styleId="Heading5Char" w:customStyle="1">
    <w:name w:val="Heading 5 Char"/>
    <w:basedOn w:val="DefaultParagraphFont"/>
    <w:link w:val="Heading5"/>
    <w:uiPriority w:val="9"/>
    <w:semiHidden/>
    <w:unhideWhenUsed/>
    <w:rPr>
      <w:rFonts w:ascii="Calibri" w:hAnsi="Calibri"/>
      <w:color w:val="003C6A"/>
    </w:rPr>
  </w:style>
  <w:style w:type="character" w:styleId="Heading6Char" w:customStyle="1">
    <w:name w:val="Heading 6 Char"/>
    <w:basedOn w:val="DefaultParagraphFont"/>
    <w:link w:val="Heading6"/>
    <w:uiPriority w:val="9"/>
    <w:semiHidden/>
    <w:unhideWhenUsed/>
    <w:rPr>
      <w:rFonts w:ascii="Calibri" w:hAnsi="Calibri"/>
      <w:i/>
      <w:iCs/>
      <w:color w:val="003C6A"/>
    </w:rPr>
  </w:style>
  <w:style w:type="character" w:styleId="Heading7Char" w:customStyle="1">
    <w:name w:val="Heading 7 Char"/>
    <w:basedOn w:val="DefaultParagraphFont"/>
    <w:link w:val="Heading7"/>
    <w:uiPriority w:val="9"/>
    <w:semiHidden/>
    <w:unhideWhenUsed/>
    <w:rPr>
      <w:rFonts w:ascii="Calibri" w:hAnsi="Calibri"/>
      <w:i/>
      <w:iCs/>
      <w:color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unhideWhenUsed/>
    <w:rPr>
      <w:rFonts w:ascii="Calibri" w:hAnsi="Calibri"/>
      <w:color w:val="0078D4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unhideWhenUsed/>
    <w:rPr>
      <w:rFonts w:ascii="Calibri" w:hAnsi="Calibr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0078D4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0078D4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b/>
      <w:bCs/>
      <w:i/>
      <w:iCs/>
      <w:color w:val="0078D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0078D4"/>
    </w:rPr>
  </w:style>
  <w:style w:type="character" w:styleId="SubtleReference">
    <w:name w:val="Subtle Reference"/>
    <w:basedOn w:val="DefaultParagraphFont"/>
    <w:uiPriority w:val="31"/>
    <w:qFormat/>
    <w:rPr>
      <w:smallCaps/>
      <w:color w:val="0078D4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078D4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000000"/>
          <w:left w:val="nil" w:sz="4" w:space="0" w:color="auto"/>
          <w:bottom w:val="single" w:sz="8" w:space="0" w:color="000000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000000"/>
          <w:left w:val="nil" w:sz="4" w:space="0" w:color="auto"/>
          <w:bottom w:val="single" w:sz="8" w:space="0" w:color="000000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005A9F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4F81BD"/>
          <w:left w:val="nil" w:sz="4" w:space="0" w:color="auto"/>
          <w:bottom w:val="single" w:sz="8" w:space="0" w:color="4F81BD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4F81BD"/>
          <w:left w:val="nil" w:sz="4" w:space="0" w:color="auto"/>
          <w:bottom w:val="single" w:sz="8" w:space="0" w:color="4F81BD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005A9F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C0504D"/>
          <w:left w:val="nil" w:sz="4" w:space="0" w:color="auto"/>
          <w:bottom w:val="single" w:sz="8" w:space="0" w:color="C0504D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C0504D"/>
          <w:left w:val="nil" w:sz="4" w:space="0" w:color="auto"/>
          <w:bottom w:val="single" w:sz="8" w:space="0" w:color="C0504D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005A9F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9BBB59"/>
          <w:left w:val="nil" w:sz="4" w:space="0" w:color="auto"/>
          <w:bottom w:val="single" w:sz="8" w:space="0" w:color="9BBB59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9BBB59"/>
          <w:left w:val="nil" w:sz="4" w:space="0" w:color="auto"/>
          <w:bottom w:val="single" w:sz="8" w:space="0" w:color="9BBB59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0B111F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8064A2"/>
          <w:left w:val="nil" w:sz="4" w:space="0" w:color="auto"/>
          <w:bottom w:val="single" w:sz="8" w:space="0" w:color="8064A2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8064A2"/>
          <w:left w:val="nil" w:sz="4" w:space="0" w:color="auto"/>
          <w:bottom w:val="single" w:sz="8" w:space="0" w:color="8064A2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5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4BACC6"/>
          <w:left w:val="nil" w:sz="4" w:space="0" w:color="auto"/>
          <w:bottom w:val="single" w:sz="8" w:space="0" w:color="4BACC6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4BACC6"/>
          <w:left w:val="nil" w:sz="4" w:space="0" w:color="auto"/>
          <w:bottom w:val="single" w:sz="8" w:space="0" w:color="4BACC6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4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F79646"/>
          <w:left w:val="nil" w:sz="4" w:space="0" w:color="auto"/>
          <w:bottom w:val="single" w:sz="8" w:space="0" w:color="F79646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F79646"/>
          <w:left w:val="nil" w:sz="4" w:space="0" w:color="auto"/>
          <w:bottom w:val="single" w:sz="8" w:space="0" w:color="F79646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0000"/>
      </w:tcPr>
    </w:tblStylePr>
    <w:tblStylePr w:type="lastRow">
      <w:rPr>
        <w:b/>
        <w:bCs/>
      </w:rPr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F172A"/>
      </w:tcPr>
    </w:tblStylePr>
    <w:tblStylePr w:type="lastRow">
      <w:rPr>
        <w:b/>
        <w:bCs/>
      </w:rPr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4BACC6"/>
      </w:tcPr>
    </w:tblStylePr>
    <w:tblStylePr w:type="lastRow">
      <w:rPr>
        <w:b/>
        <w:bCs/>
      </w:rPr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F79646"/>
      </w:tcPr>
    </w:tblStylePr>
    <w:tblStylePr w:type="lastRow">
      <w:rPr>
        <w:b/>
        <w:bCs/>
      </w:rPr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sz="4" w:space="0" w:color="auto"/>
          <w:insideV w:val="single" w:sz="8" w:space="0" w:color="000000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sz="4" w:space="0" w:color="auto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B5DFFF"/>
      </w:tcPr>
    </w:tblStylePr>
    <w:tblStylePr w:type="band1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B5DFFF"/>
      </w:tcPr>
    </w:tblStylePr>
    <w:tblStylePr w:type="band2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 w:sz="4" w:space="0" w:color="auto"/>
          <w:insideV w:val="single" w:sz="8" w:space="0" w:color="4F81BD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 w:sz="4" w:space="0" w:color="auto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B5DFFF"/>
      </w:tcPr>
    </w:tblStylePr>
    <w:tblStylePr w:type="band1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B5DFFF"/>
      </w:tcPr>
    </w:tblStylePr>
    <w:tblStylePr w:type="band2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 w:sz="4" w:space="0" w:color="auto"/>
          <w:insideV w:val="single" w:sz="8" w:space="0" w:color="C0504D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 w:sz="4" w:space="0" w:color="auto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B5DFFF"/>
      </w:tcPr>
    </w:tblStylePr>
    <w:tblStylePr w:type="band1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B5DFFF"/>
      </w:tcPr>
    </w:tblStylePr>
    <w:tblStylePr w:type="band2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 w:sz="4" w:space="0" w:color="auto"/>
          <w:insideV w:val="single" w:sz="8" w:space="0" w:color="9BBB59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 w:sz="4" w:space="0" w:color="auto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ADBCE2"/>
      </w:tcPr>
    </w:tblStylePr>
    <w:tblStylePr w:type="band1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ADBCE2"/>
      </w:tcPr>
    </w:tblStylePr>
    <w:tblStylePr w:type="band2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 w:sz="4" w:space="0" w:color="auto"/>
          <w:insideV w:val="single" w:sz="8" w:space="0" w:color="8064A2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 w:sz="4" w:space="0" w:color="auto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3EAF1"/>
      </w:tcPr>
    </w:tblStylePr>
    <w:tblStylePr w:type="band1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3EAF1"/>
      </w:tcPr>
    </w:tblStylePr>
    <w:tblStylePr w:type="band2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 w:sz="4" w:space="0" w:color="auto"/>
          <w:insideV w:val="single" w:sz="8" w:space="0" w:color="4BACC6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 w:sz="4" w:space="0" w:color="auto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5D1"/>
      </w:tcPr>
    </w:tblStylePr>
    <w:tblStylePr w:type="band1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5D1"/>
      </w:tcPr>
    </w:tblStylePr>
    <w:tblStylePr w:type="band2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 w:sz="4" w:space="0" w:color="auto"/>
          <w:insideV w:val="single" w:sz="8" w:space="0" w:color="F79646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 w:sz="4" w:space="0" w:color="auto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C0C0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rPr>
        <w:b/>
        <w:bCs/>
      </w:rPr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 w:sz="4" w:space="0" w:color="auto"/>
          <w:insideV w:val="nil" w:sz="4" w:space="0" w:color="auto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 w:sz="4" w:space="0" w:color="auto"/>
          <w:insideV w:val="nil" w:sz="4" w:space="0" w:color="auto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 w:sz="4" w:space="0" w:color="auto"/>
          <w:insideV w:val="nil" w:sz="4" w:space="0" w:color="auto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 w:sz="4" w:space="0" w:color="auto"/>
          <w:insideV w:val="nil" w:sz="4" w:space="0" w:color="auto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DBCE2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Row">
      <w:rPr>
        <w:b/>
        <w:bCs/>
      </w:rPr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 w:sz="4" w:space="0" w:color="auto"/>
          <w:insideV w:val="nil" w:sz="4" w:space="0" w:color="auto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3EAF1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Row">
      <w:rPr>
        <w:b/>
        <w:bCs/>
      </w:rPr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 w:sz="4" w:space="0" w:color="auto"/>
          <w:insideV w:val="nil" w:sz="4" w:space="0" w:color="auto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DE5D1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Row">
      <w:rPr>
        <w:b/>
        <w:bCs/>
      </w:rPr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 w:sz="4" w:space="0" w:color="auto"/>
          <w:insideV w:val="nil" w:sz="4" w:space="0" w:color="auto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C0C0"/>
      </w:tcPr>
    </w:tblStylePr>
    <w:tblStylePr w:type="band1Horz">
      <w:tcPr>
        <w:shd w:val="clear" w:color="auto" w:fill="C0C0C0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/>
          <w:bottom w:val="single" w:sz="8" w:space="0" w:color="000000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00000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/>
          <w:bottom w:val="single" w:sz="8" w:space="0" w:color="000000"/>
        </w:tcBorders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/>
          <w:bottom w:val="single" w:sz="8" w:space="0" w:color="4F81BD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4F81BD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/>
          <w:bottom w:val="single" w:sz="8" w:space="0" w:color="4F81BD"/>
        </w:tcBorders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/>
          <w:bottom w:val="single" w:sz="8" w:space="0" w:color="C0504D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C0504D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/>
          <w:bottom w:val="single" w:sz="8" w:space="0" w:color="C0504D"/>
        </w:tcBorders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/>
          <w:bottom w:val="single" w:sz="8" w:space="0" w:color="9BBB59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9BBB59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/>
          <w:bottom w:val="single" w:sz="8" w:space="0" w:color="9BBB59"/>
        </w:tcBorders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DBCE2"/>
      </w:tcPr>
    </w:tblStylePr>
    <w:tblStylePr w:type="band1Horz">
      <w:tcPr>
        <w:shd w:val="clear" w:color="auto" w:fill="ADBCE2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/>
          <w:bottom w:val="single" w:sz="8" w:space="0" w:color="8064A2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8064A2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/>
          <w:bottom w:val="single" w:sz="8" w:space="0" w:color="8064A2"/>
        </w:tcBorders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3EAF1"/>
      </w:tcPr>
    </w:tblStylePr>
    <w:tblStylePr w:type="band1Horz">
      <w:tcPr>
        <w:shd w:val="clear" w:color="auto" w:fill="D3EAF1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/>
          <w:bottom w:val="single" w:sz="8" w:space="0" w:color="4BACC6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4BACC6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/>
          <w:bottom w:val="single" w:sz="8" w:space="0" w:color="4BACC6"/>
        </w:tcBorders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DE5D1"/>
      </w:tcPr>
    </w:tblStylePr>
    <w:tblStylePr w:type="band1Horz">
      <w:tcPr>
        <w:shd w:val="clear" w:color="auto" w:fill="FDE5D1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/>
          <w:bottom w:val="single" w:sz="8" w:space="0" w:color="F79646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F79646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/>
          <w:bottom w:val="single" w:sz="8" w:space="0" w:color="F79646"/>
        </w:tcBorders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000000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000000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000000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4F81BD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4F81BD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4F81B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4F81BD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C0504D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C0504D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C0504D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9BBB59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9BBB59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9BBB59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9BBB59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8064A2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8064A2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8064A2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8064A2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4BACC6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4BACC6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4BACC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4BACC6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F79646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F79646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F7964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F79646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shd w:val="clear" w:color="auto" w:fill="80808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/>
        </w:tcBorders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/>
        </w:tcBorders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/>
        </w:tcBorders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/>
        </w:tcBorders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5978C4"/>
      </w:tcPr>
    </w:tblStylePr>
    <w:tblStylePr w:type="band1Horz">
      <w:tcPr>
        <w:shd w:val="clear" w:color="auto" w:fill="5978C4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/>
        </w:tcBorders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shd w:val="clear" w:color="auto" w:fill="A5D6E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/>
        </w:tcBorders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shd w:val="clear" w:color="auto" w:fill="FBCBA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/>
        </w:tcBorders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CCCCC"/>
      </w:tcPr>
    </w:tblStylePr>
    <w:tblStylePr w:type="firstRow">
      <w:rPr>
        <w:b/>
        <w:bCs/>
        <w:color w:val="000000"/>
      </w:rPr>
      <w:tcPr>
        <w:shd w:val="clear" w:color="auto" w:fill="E6E6E6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tcBorders>
          <w:insideH w:val="single" w:sz="6" w:space="0" w:color="4F81BD"/>
          <w:insideV w:val="single" w:sz="6" w:space="0" w:color="4F81BD"/>
        </w:tcBorders>
        <w:shd w:val="clear" w:color="auto" w:fill="6BBFFF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3E5FF"/>
      </w:tcPr>
    </w:tblStylePr>
    <w:tblStylePr w:type="firstRow">
      <w:rPr>
        <w:b/>
        <w:bCs/>
        <w:color w:val="000000"/>
      </w:rPr>
      <w:tcPr>
        <w:shd w:val="clear" w:color="auto" w:fill="E2F2F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tcBorders>
          <w:insideH w:val="single" w:sz="6" w:space="0" w:color="C0504D"/>
          <w:insideV w:val="single" w:sz="6" w:space="0" w:color="C0504D"/>
        </w:tcBorders>
        <w:shd w:val="clear" w:color="auto" w:fill="6BBFFF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3E5FF"/>
      </w:tcPr>
    </w:tblStylePr>
    <w:tblStylePr w:type="firstRow">
      <w:rPr>
        <w:b/>
        <w:bCs/>
        <w:color w:val="000000"/>
      </w:rPr>
      <w:tcPr>
        <w:shd w:val="clear" w:color="auto" w:fill="E2F2F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tcBorders>
          <w:insideH w:val="single" w:sz="6" w:space="0" w:color="9BBB59"/>
          <w:insideV w:val="single" w:sz="6" w:space="0" w:color="9BBB59"/>
        </w:tcBorders>
        <w:shd w:val="clear" w:color="auto" w:fill="6BBFFF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3E5FF"/>
      </w:tcPr>
    </w:tblStylePr>
    <w:tblStylePr w:type="firstRow">
      <w:rPr>
        <w:b/>
        <w:bCs/>
        <w:color w:val="000000"/>
      </w:rPr>
      <w:tcPr>
        <w:shd w:val="clear" w:color="auto" w:fill="E2F2F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5978C4"/>
      </w:tcPr>
    </w:tblStylePr>
    <w:tblStylePr w:type="band1Horz">
      <w:tcPr>
        <w:tcBorders>
          <w:insideH w:val="single" w:sz="6" w:space="0" w:color="8064A2"/>
          <w:insideV w:val="single" w:sz="6" w:space="0" w:color="8064A2"/>
        </w:tcBorders>
        <w:shd w:val="clear" w:color="auto" w:fill="5978C4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CC9E7"/>
      </w:tcPr>
    </w:tblStylePr>
    <w:tblStylePr w:type="firstRow">
      <w:rPr>
        <w:b/>
        <w:bCs/>
        <w:color w:val="000000"/>
      </w:rPr>
      <w:tcPr>
        <w:shd w:val="clear" w:color="auto" w:fill="DEE5F3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tcBorders>
          <w:insideH w:val="single" w:sz="6" w:space="0" w:color="4BACC6"/>
          <w:insideV w:val="single" w:sz="6" w:space="0" w:color="4BACC6"/>
        </w:tcBorders>
        <w:shd w:val="clear" w:color="auto" w:fill="A5D6E3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BEEF4"/>
      </w:tcPr>
    </w:tblStylePr>
    <w:tblStylePr w:type="firstRow">
      <w:rPr>
        <w:b/>
        <w:bCs/>
        <w:color w:val="000000"/>
      </w:rPr>
      <w:tcPr>
        <w:shd w:val="clear" w:color="auto" w:fill="EDF7F9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tcBorders>
          <w:insideH w:val="single" w:sz="6" w:space="0" w:color="F79646"/>
          <w:insideV w:val="single" w:sz="6" w:space="0" w:color="F79646"/>
        </w:tcBorders>
        <w:shd w:val="clear" w:color="auto" w:fill="FBCBA3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ADA"/>
      </w:tcPr>
    </w:tblStylePr>
    <w:tblStylePr w:type="firstRow">
      <w:rPr>
        <w:b/>
        <w:bCs/>
        <w:color w:val="000000"/>
      </w:rPr>
      <w:tcPr>
        <w:shd w:val="clear" w:color="auto" w:fill="FEF5ED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808080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000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6BBFFF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BBFFF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6BBFFF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BBFFF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6BBFFF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BBFFF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5978C4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5978C4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F172A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F172A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A5D6E3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6E3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BACC6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FBCBA3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BA3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F79646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3C6A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3C6A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3C6A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70B15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15867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74807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999999"/>
      </w:tcPr>
    </w:tblStylePr>
    <w:tblStylePr w:type="band1Horz">
      <w:tcPr>
        <w:shd w:val="clear" w:color="auto" w:fill="808080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000000"/>
          <w:insideV w:val="nil" w:sz="4" w:space="0" w:color="auto"/>
        </w:tcBorders>
        <w:shd w:val="clear" w:color="auto" w:fill="000000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000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8CB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2C4C74"/>
          <w:insideV w:val="nil" w:sz="4" w:space="0" w:color="auto"/>
        </w:tcBorders>
        <w:shd w:val="clear" w:color="auto" w:fill="00487F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487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48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8CB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772C2A"/>
          <w:insideV w:val="nil" w:sz="4" w:space="0" w:color="auto"/>
        </w:tcBorders>
        <w:shd w:val="clear" w:color="auto" w:fill="00487F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487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48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8CB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5E7530"/>
          <w:insideV w:val="nil" w:sz="4" w:space="0" w:color="auto"/>
        </w:tcBorders>
        <w:shd w:val="clear" w:color="auto" w:fill="00487F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487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8064A2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48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7993CF"/>
      </w:tcPr>
    </w:tblStylePr>
    <w:tblStylePr w:type="band1Horz">
      <w:tcPr>
        <w:shd w:val="clear" w:color="auto" w:fill="5978C4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4C3B62"/>
          <w:insideV w:val="nil" w:sz="4" w:space="0" w:color="auto"/>
        </w:tcBorders>
        <w:shd w:val="clear" w:color="auto" w:fill="090E19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90E19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9BBB59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90E1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7DEE8"/>
      </w:tcPr>
    </w:tblStylePr>
    <w:tblStylePr w:type="band1Horz">
      <w:tcPr>
        <w:shd w:val="clear" w:color="auto" w:fill="A5D6E3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276A7C"/>
          <w:insideV w:val="nil" w:sz="4" w:space="0" w:color="auto"/>
        </w:tcBorders>
        <w:shd w:val="clear" w:color="auto" w:fill="276A7C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76A7C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F7964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276A7C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CD5B5"/>
      </w:tcPr>
    </w:tblStylePr>
    <w:tblStylePr w:type="band1Horz">
      <w:tcPr>
        <w:shd w:val="clear" w:color="auto" w:fill="FBCBA3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B65608"/>
          <w:insideV w:val="nil" w:sz="4" w:space="0" w:color="auto"/>
        </w:tcBorders>
        <w:shd w:val="clear" w:color="auto" w:fill="B65708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65708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4BACC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B6570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shd w:val="clear" w:color="auto" w:fill="CCCCCC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shd w:val="clear" w:color="auto" w:fill="C3E5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shd w:val="clear" w:color="auto" w:fill="C3E5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shd w:val="clear" w:color="auto" w:fill="C3E5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C1222"/>
      </w:tcPr>
    </w:tblStylePr>
    <w:tblStylePr w:type="lastRow">
      <w:rPr>
        <w:b/>
        <w:bCs/>
        <w:color w:val="0C1222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1Horz">
      <w:tcPr>
        <w:shd w:val="clear" w:color="auto" w:fill="BCC9E7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shd w:val="clear" w:color="auto" w:fill="DBEEF4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F3740B"/>
      </w:tcPr>
    </w:tblStylePr>
    <w:tblStylePr w:type="lastRow">
      <w:rPr>
        <w:b/>
        <w:bCs/>
        <w:color w:val="F3740B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shd w:val="clear" w:color="auto" w:fill="FDEADA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358EA6"/>
      </w:tcPr>
    </w:tblStylePr>
    <w:tblStylePr w:type="lastRow">
      <w:rPr>
        <w:b/>
        <w:bCs/>
        <w:color w:val="358EA6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shd w:val="clear" w:color="auto" w:fill="808080"/>
      </w:tcPr>
    </w:tblStylePr>
    <w:tblStylePr w:type="firstCol">
      <w:rPr>
        <w:color w:val="FFFFFF"/>
      </w:rPr>
      <w:tcPr>
        <w:shd w:val="clear" w:color="auto" w:fill="000000"/>
      </w:tcPr>
    </w:tblStylePr>
    <w:tblStylePr w:type="lastCol">
      <w:rPr>
        <w:color w:val="FFFFFF"/>
      </w:rPr>
      <w:tcPr>
        <w:shd w:val="clear" w:color="auto" w:fill="000000"/>
      </w:tcPr>
    </w:tblStylePr>
    <w:tblStylePr w:type="firstRow">
      <w:rPr>
        <w:b/>
        <w:bCs/>
      </w:rPr>
      <w:tcPr>
        <w:shd w:val="clear" w:color="auto" w:fill="999999"/>
      </w:tcPr>
    </w:tblStylePr>
    <w:tblStylePr w:type="lastRow">
      <w:rPr>
        <w:b/>
        <w:bCs/>
        <w:color w:val="000000"/>
      </w:rPr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shd w:val="clear" w:color="auto" w:fill="005A9F"/>
      </w:tcPr>
    </w:tblStylePr>
    <w:tblStylePr w:type="lastCol">
      <w:rPr>
        <w:color w:val="FFFFFF"/>
      </w:rPr>
      <w:tcPr>
        <w:shd w:val="clear" w:color="auto" w:fill="005A9F"/>
      </w:tcPr>
    </w:tblStylePr>
    <w:tblStylePr w:type="firstRow">
      <w:rPr>
        <w:b/>
        <w:bCs/>
      </w:rPr>
      <w:tcPr>
        <w:shd w:val="clear" w:color="auto" w:fill="88CBFF"/>
      </w:tcPr>
    </w:tblStylePr>
    <w:tblStylePr w:type="lastRow">
      <w:rPr>
        <w:b/>
        <w:bCs/>
        <w:color w:val="000000"/>
      </w:rPr>
      <w:tcPr>
        <w:shd w:val="clear" w:color="auto" w:fill="88CBF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shd w:val="clear" w:color="auto" w:fill="005A9F"/>
      </w:tcPr>
    </w:tblStylePr>
    <w:tblStylePr w:type="lastCol">
      <w:rPr>
        <w:color w:val="FFFFFF"/>
      </w:rPr>
      <w:tcPr>
        <w:shd w:val="clear" w:color="auto" w:fill="005A9F"/>
      </w:tcPr>
    </w:tblStylePr>
    <w:tblStylePr w:type="firstRow">
      <w:rPr>
        <w:b/>
        <w:bCs/>
      </w:rPr>
      <w:tcPr>
        <w:shd w:val="clear" w:color="auto" w:fill="88CBFF"/>
      </w:tcPr>
    </w:tblStylePr>
    <w:tblStylePr w:type="lastRow">
      <w:rPr>
        <w:b/>
        <w:bCs/>
        <w:color w:val="000000"/>
      </w:rPr>
      <w:tcPr>
        <w:shd w:val="clear" w:color="auto" w:fill="88CBF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shd w:val="clear" w:color="auto" w:fill="005A9F"/>
      </w:tcPr>
    </w:tblStylePr>
    <w:tblStylePr w:type="lastCol">
      <w:rPr>
        <w:color w:val="FFFFFF"/>
      </w:rPr>
      <w:tcPr>
        <w:shd w:val="clear" w:color="auto" w:fill="005A9F"/>
      </w:tcPr>
    </w:tblStylePr>
    <w:tblStylePr w:type="firstRow">
      <w:rPr>
        <w:b/>
        <w:bCs/>
      </w:rPr>
      <w:tcPr>
        <w:shd w:val="clear" w:color="auto" w:fill="88CBFF"/>
      </w:tcPr>
    </w:tblStylePr>
    <w:tblStylePr w:type="lastRow">
      <w:rPr>
        <w:b/>
        <w:bCs/>
        <w:color w:val="000000"/>
      </w:rPr>
      <w:tcPr>
        <w:shd w:val="clear" w:color="auto" w:fill="88CBF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5978C4"/>
      </w:tcPr>
    </w:tblStylePr>
    <w:tblStylePr w:type="band1Horz">
      <w:tcPr>
        <w:shd w:val="clear" w:color="auto" w:fill="5978C4"/>
      </w:tcPr>
    </w:tblStylePr>
    <w:tblStylePr w:type="firstCol">
      <w:rPr>
        <w:color w:val="FFFFFF"/>
      </w:rPr>
      <w:tcPr>
        <w:shd w:val="clear" w:color="auto" w:fill="0B111F"/>
      </w:tcPr>
    </w:tblStylePr>
    <w:tblStylePr w:type="lastCol">
      <w:rPr>
        <w:color w:val="FFFFFF"/>
      </w:rPr>
      <w:tcPr>
        <w:shd w:val="clear" w:color="auto" w:fill="0B111F"/>
      </w:tcPr>
    </w:tblStylePr>
    <w:tblStylePr w:type="firstRow">
      <w:rPr>
        <w:b/>
        <w:bCs/>
      </w:rPr>
      <w:tcPr>
        <w:shd w:val="clear" w:color="auto" w:fill="7993CF"/>
      </w:tcPr>
    </w:tblStylePr>
    <w:tblStylePr w:type="lastRow">
      <w:rPr>
        <w:b/>
        <w:bCs/>
        <w:color w:val="000000"/>
      </w:rPr>
      <w:tcPr>
        <w:shd w:val="clear" w:color="auto" w:fill="7993C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shd w:val="clear" w:color="auto" w:fill="A5D6E3"/>
      </w:tcPr>
    </w:tblStylePr>
    <w:tblStylePr w:type="firstCol">
      <w:rPr>
        <w:color w:val="FFFFFF"/>
      </w:rPr>
      <w:tcPr>
        <w:shd w:val="clear" w:color="auto" w:fill="31859B"/>
      </w:tcPr>
    </w:tblStylePr>
    <w:tblStylePr w:type="lastCol">
      <w:rPr>
        <w:color w:val="FFFFFF"/>
      </w:rPr>
      <w:tcPr>
        <w:shd w:val="clear" w:color="auto" w:fill="31859B"/>
      </w:tcPr>
    </w:tblStylePr>
    <w:tblStylePr w:type="firstRow">
      <w:rPr>
        <w:b/>
        <w:bCs/>
      </w:rPr>
      <w:tcPr>
        <w:shd w:val="clear" w:color="auto" w:fill="B7DEE8"/>
      </w:tcPr>
    </w:tblStylePr>
    <w:tblStylePr w:type="lastRow">
      <w:rPr>
        <w:b/>
        <w:bCs/>
        <w:color w:val="000000"/>
      </w:rPr>
      <w:tcPr>
        <w:shd w:val="clear" w:color="auto" w:fill="B7DEE8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shd w:val="clear" w:color="auto" w:fill="FBCBA3"/>
      </w:tcPr>
    </w:tblStylePr>
    <w:tblStylePr w:type="firstCol">
      <w:rPr>
        <w:color w:val="FFFFFF"/>
      </w:rPr>
      <w:tcPr>
        <w:shd w:val="clear" w:color="auto" w:fill="E46C0A"/>
      </w:tcPr>
    </w:tblStylePr>
    <w:tblStylePr w:type="lastCol">
      <w:rPr>
        <w:color w:val="FFFFFF"/>
      </w:rPr>
      <w:tcPr>
        <w:shd w:val="clear" w:color="auto" w:fill="E46C0A"/>
      </w:tcPr>
    </w:tblStylePr>
    <w:tblStylePr w:type="firstRow">
      <w:rPr>
        <w:b/>
        <w:bCs/>
      </w:rPr>
      <w:tcPr>
        <w:shd w:val="clear" w:color="auto" w:fill="FCD5B5"/>
      </w:tcPr>
    </w:tblStylePr>
    <w:tblStylePr w:type="lastRow">
      <w:rPr>
        <w:b/>
        <w:bCs/>
        <w:color w:val="000000"/>
      </w:rPr>
      <w:tcPr>
        <w:shd w:val="clear" w:color="auto" w:fill="FCD5B5"/>
      </w:tcPr>
    </w:tblStylePr>
  </w:style>
  <w:style w:type="paragraph" w:styleId="Instruction" w:customStyle="1">
    <w:name w:val="Instruction"/>
    <w:pPr>
      <w:widowControl/>
      <w:spacing w:before="0" w:after="180" w:line="264" w:lineRule="auto"/>
    </w:pPr>
    <w:rPr>
      <w:rFonts w:ascii="Calibri" w:hAnsi="Calibri"/>
      <w:b w:val="0"/>
      <w:i/>
      <w:color w:val="64748B"/>
      <w:sz w:val="19"/>
    </w:rPr>
  </w:style>
  <w:style w:type="paragraph" w:styleId="Code" w:customStyle="1">
    <w:name w:val="Code"/>
    <w:pPr>
      <w:widowControl/>
      <w:spacing w:before="60" w:after="180" w:line="264" w:lineRule="auto"/>
    </w:pPr>
    <w:rPr>
      <w:rFonts w:ascii="Consolas" w:hAnsi="Consolas"/>
      <w:b w:val="0"/>
      <w:color w:val="0F172A"/>
      <w:sz w:val="19"/>
    </w:rPr>
  </w:style>
  <w:style w:type="paragraph" w:styleId="Covermeta" w:customStyle="1">
    <w:name w:val="Cover meta"/>
    <w:pPr>
      <w:widowControl/>
      <w:spacing w:before="0" w:after="180" w:line="264" w:lineRule="auto"/>
    </w:pPr>
    <w:rPr>
      <w:rFonts w:ascii="Calibri" w:hAnsi="Calibri"/>
      <w:b w:val="0"/>
      <w:color w:val="64748B"/>
      <w:sz w:val="21"/>
    </w:rPr>
  </w:style>
  <w:style w:type="paragraph" w:styleId="TOC1" w:customStyle="1">
    <w:name w:val="toc 1"/>
    <w:pPr>
      <w:widowControl/>
      <w:tabs>
        <w:tab w:val="right" w:leader="hyphen" w:pos="9468"/>
      </w:tabs>
      <w:spacing w:before="220" w:after="180" w:line="264" w:lineRule="auto"/>
    </w:pPr>
    <w:rPr>
      <w:rFonts w:ascii="Calibri" w:hAnsi="Calibri"/>
      <w:b/>
      <w:color w:val="0078D4"/>
      <w:sz w:val="23"/>
    </w:rPr>
  </w:style>
  <w:style w:type="paragraph" w:styleId="TOC2" w:customStyle="1">
    <w:name w:val="toc 2"/>
    <w:pPr>
      <w:widowControl/>
      <w:tabs>
        <w:tab w:val="right" w:leader="hyphen" w:pos="9468"/>
      </w:tabs>
      <w:spacing w:before="0" w:after="100" w:line="264" w:lineRule="auto"/>
      <w:ind w:left="312"/>
    </w:pPr>
    <w:rPr>
      <w:rFonts w:ascii="Calibri" w:hAnsi="Calibri"/>
      <w:b w:val="0"/>
      <w:color w:val="0078D4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eader" Target="header1.xml"/><Relationship Id="rId3" Type="http://schemas.openxmlformats.org/officeDocument/2006/relationships/image" Target="media/image4.png"/><Relationship Id="rId4" Type="http://schemas.openxmlformats.org/officeDocument/2006/relationships/hyperlink" Target="https://learn.microsoft.com/fr-fr/windows-server/virtualization/hyper-v/" TargetMode="External"/><Relationship Id="rId5" Type="http://schemas.openxmlformats.org/officeDocument/2006/relationships/hyperlink" Target="https://support.microsoft.com/fr-fr/windows/configuration-requise-pour-windows-10-6d4e9a79-66bf-7950-467c-795cf0386715" TargetMode="External"/><Relationship Id="rId6" Type="http://schemas.openxmlformats.org/officeDocument/2006/relationships/hyperlink" Target="https://learn.microsoft.com/fr-fr/windows-server/get-started/hardware-requirements?tabs=cpu&amp;pivots=windows-server-2022" TargetMode="Externa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styles" Target="styles.xml"/><Relationship Id="rId10" Type="http://schemas.openxmlformats.org/officeDocument/2006/relationships/numbering" Target="numbering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fontTable" Target="fontTable.xml"/><Relationship Id="rId14" Type="http://schemas.openxmlformats.org/officeDocument/2006/relationships/customXml" Target="../customXml/item1.xml"/><Relationship Id="rId15" Type="http://schemas.microsoft.com/office/2007/relationships/stylesWithEffects" Target="stylesWithEffects.xml"/><Relationship Id="rId16" Type="http://schemas.openxmlformats.org/officeDocument/2006/relationships/webSettings" Target="webSettings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C:\Users\natha\AppData\Roaming\WordCraft\Templates\DocumentationTech_Hyper-V.dotx" TargetMode="Externa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0078D4"/>
      </a:accent1>
      <a:accent2>
        <a:srgbClr val="0078D4"/>
      </a:accent2>
      <a:accent3>
        <a:srgbClr val="0078D4"/>
      </a:accent3>
      <a:accent4>
        <a:srgbClr val="0F172A"/>
      </a:accent4>
      <a:accent5>
        <a:srgbClr val="4BACC6"/>
      </a:accent5>
      <a:accent6>
        <a:srgbClr val="F79646"/>
      </a:accent6>
      <a:hlink>
        <a:srgbClr val="0078D4"/>
      </a:hlink>
      <a:folHlink>
        <a:srgbClr val="0078D4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257</Words>
  <Paragraphs>79</Paragraphs>
  <DocSecurity>0</DocSecurity>
  <Template>Normal.dotm</Template>
  <ScaleCrop>false</ScaleCrop>
  <Manager/>
  <Company/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documentation technique Azure Tech</dc:title>
  <dc:subject>Guide d’utilisation d’un outil</dc:subject>
  <cp:keywords>Azure Tech, documentation technique, modèle</cp:keywords>
  <dc:description>generated by python-docx</dc:description>
  <cp:lastModifiedBy>WordCraft User</cp:lastModifiedBy>
  <cp:revision>369</cp:revision>
  <dcterms:created xsi:type="dcterms:W3CDTF">2013-12-23T23:15:00Z</dcterms:created>
  <dcterms:modified xsi:type="dcterms:W3CDTF">2026-10-29T20:40:44Z</dcterms:modified>
</cp:coreProperties>
</file>