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E" w:rsidRDefault="007559DE" w:rsidP="007559DE">
      <w:pPr>
        <w:autoSpaceDE/>
        <w:autoSpaceDN/>
        <w:ind w:firstLine="708"/>
        <w:jc w:val="both"/>
        <w:rPr>
          <w:color w:val="000000"/>
        </w:rPr>
      </w:pPr>
      <w:r>
        <w:rPr>
          <w:color w:val="000000"/>
        </w:rPr>
        <w:t>По договору</w:t>
      </w:r>
    </w:p>
    <w:p w:rsidR="007559DE" w:rsidRPr="00C52186" w:rsidRDefault="007559DE" w:rsidP="007559DE">
      <w:pPr>
        <w:autoSpaceDE/>
        <w:autoSpaceDN/>
        <w:ind w:firstLine="708"/>
        <w:jc w:val="both"/>
        <w:rPr>
          <w:color w:val="000000"/>
        </w:rPr>
      </w:pPr>
      <w:r w:rsidRPr="00C52186">
        <w:rPr>
          <w:color w:val="000000"/>
        </w:rPr>
        <w:t xml:space="preserve">Исполнение контракта может обеспечиваться предоставлением банковской гарантии, выданной банком и соответствующей требованиям </w:t>
      </w:r>
      <w:hyperlink r:id="rId4" w:anchor="/document/70353464/entry/45" w:history="1">
        <w:r w:rsidRPr="00C52186">
          <w:rPr>
            <w:color w:val="000000"/>
          </w:rPr>
          <w:t>статьи 45</w:t>
        </w:r>
      </w:hyperlink>
      <w:r w:rsidRPr="00C52186">
        <w:rPr>
          <w:color w:val="000000"/>
        </w:rPr>
        <w:t xml:space="preserve"> Федерального закона от 05.04.2013г. №44-ФЗ, или внесением денежных средств на указанный Заказчиком счет, на котором в соответствии с законодательством Российской Федерации учитываются операции со средствами, поступающими Заказчику. </w:t>
      </w:r>
    </w:p>
    <w:p w:rsidR="007559DE" w:rsidRPr="00C52186" w:rsidRDefault="007559DE" w:rsidP="007559DE">
      <w:pPr>
        <w:autoSpaceDE/>
        <w:autoSpaceDN/>
        <w:ind w:firstLine="708"/>
        <w:jc w:val="both"/>
        <w:rPr>
          <w:color w:val="000000"/>
        </w:rPr>
      </w:pPr>
      <w:r w:rsidRPr="00C52186">
        <w:rPr>
          <w:color w:val="000000"/>
        </w:rPr>
        <w:t>Способ обеспечения исполнения Контракта, срок действия банковской гарантии определяются в соответствии с требованиями Федерального закона от 05.04.2013г. №44-ФЗ Подрядчиком, с которым заключается контракт, самостоятельно.</w:t>
      </w:r>
    </w:p>
    <w:p w:rsidR="007559DE" w:rsidRPr="00C52186" w:rsidRDefault="007559DE" w:rsidP="007559DE">
      <w:pPr>
        <w:autoSpaceDE/>
        <w:autoSpaceDN/>
        <w:ind w:firstLine="708"/>
        <w:jc w:val="both"/>
        <w:rPr>
          <w:b/>
        </w:rPr>
      </w:pPr>
      <w:r w:rsidRPr="00C52186">
        <w:rPr>
          <w:color w:val="000000"/>
        </w:rPr>
        <w:t xml:space="preserve"> При этом 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</w:t>
      </w:r>
      <w:hyperlink r:id="rId5" w:anchor="/document/70353464/entry/95" w:history="1">
        <w:r w:rsidRPr="00C52186">
          <w:rPr>
            <w:color w:val="000000"/>
          </w:rPr>
          <w:t>статьей 95</w:t>
        </w:r>
      </w:hyperlink>
      <w:r w:rsidRPr="00C52186">
        <w:rPr>
          <w:color w:val="000000"/>
        </w:rPr>
        <w:t xml:space="preserve"> Федерального закона от 05.04.2013г. №44-ФЗ.</w:t>
      </w:r>
      <w:r w:rsidRPr="00C52186">
        <w:rPr>
          <w:b/>
        </w:rPr>
        <w:t xml:space="preserve"> </w:t>
      </w:r>
    </w:p>
    <w:p w:rsidR="00D808B2" w:rsidRDefault="007559DE">
      <w:r>
        <w:t xml:space="preserve"> По ТЗ:</w:t>
      </w:r>
      <w:bookmarkStart w:id="0" w:name="_GoBack"/>
      <w:bookmarkEnd w:id="0"/>
    </w:p>
    <w:p w:rsidR="007559DE" w:rsidRDefault="007559DE">
      <w:r w:rsidRPr="007559DE">
        <w:t>Все элементы устанавливаемого барьерного ограждения должны отвечать требованиям ТР ТС О 14/2011 «Безопасные автомобильные дороги», иметь соответствующую маркировку и подтверждение соответствия в форме сертификации.</w:t>
      </w:r>
    </w:p>
    <w:sectPr w:rsidR="0075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E0"/>
    <w:rsid w:val="00054FE0"/>
    <w:rsid w:val="007559DE"/>
    <w:rsid w:val="00D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A268E-5949-4AB2-8B88-CB67F4F8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9D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bileonline.garant.ru/" TargetMode="External"/><Relationship Id="rId4" Type="http://schemas.openxmlformats.org/officeDocument/2006/relationships/hyperlink" Target="http://mobileonline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2023-04-14T08:11:00Z</dcterms:created>
  <dcterms:modified xsi:type="dcterms:W3CDTF">2023-04-14T08:12:00Z</dcterms:modified>
</cp:coreProperties>
</file>