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Камаев С.М.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Вишняков И.Э.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2023 г.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C">
      <w:pPr>
        <w:spacing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1. Преобразовать модель семантических объектов, созданную в лабораторной работе №2, в реляционную модель согласно процедуре преобразования.</w:t>
      </w:r>
    </w:p>
    <w:p w:rsidR="00000000" w:rsidDel="00000000" w:rsidP="00000000" w:rsidRDefault="00000000" w:rsidRPr="00000000" w14:paraId="0000003D">
      <w:pPr>
        <w:spacing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2. Сопоставить результаты проектирования с использованием модели «сущность-связь» и модели семантических объектов (лабораторные работы №3, №4).</w:t>
      </w:r>
    </w:p>
    <w:p w:rsidR="00000000" w:rsidDel="00000000" w:rsidP="00000000" w:rsidRDefault="00000000" w:rsidRPr="00000000" w14:paraId="0000003E">
      <w:pPr>
        <w:spacing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3. Обосновать различия результатов, выявить и исправить ошибки проектирования.</w:t>
      </w:r>
    </w:p>
    <w:p w:rsidR="00000000" w:rsidDel="00000000" w:rsidP="00000000" w:rsidRDefault="00000000" w:rsidRPr="00000000" w14:paraId="0000003F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На рисунке 1 представлена созданная в лабораторной работе №2 модель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семантических объектов.</w:t>
      </w:r>
    </w:p>
    <w:p w:rsidR="00000000" w:rsidDel="00000000" w:rsidP="00000000" w:rsidRDefault="00000000" w:rsidRPr="00000000" w14:paraId="00000042">
      <w:pPr>
        <w:spacing w:line="36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4930" cy="368767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184930" cy="368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Рисунок 1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Модель семантических объектов</w:t>
          </w:r>
        </w:sdtContent>
      </w:sdt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соответствии с правилами преобразования, из созданной ранее семантической модели, получили реляционную модель, представленную на рисунке 2.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2962" cy="3464287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2" cy="346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4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2 − Реляционная модель, полученная из модели семантических объектов</w:t>
          </w:r>
        </w:sdtContent>
      </w:sdt>
    </w:p>
    <w:p w:rsidR="00000000" w:rsidDel="00000000" w:rsidP="00000000" w:rsidRDefault="00000000" w:rsidRPr="00000000" w14:paraId="0000004D">
      <w:pPr>
        <w:spacing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Модель, полученная в 3 лабораторной работе, представлена на рисунке 3.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51030" cy="5662303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51030" cy="566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4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3 − Реляционная модель, полученная из </w:t>
          </w:r>
        </w:sdtContent>
      </w:sdt>
      <w:r w:rsidDel="00000000" w:rsidR="00000000" w:rsidRPr="00000000">
        <w:rPr>
          <w:color w:val="000000"/>
          <w:sz w:val="27"/>
          <w:szCs w:val="27"/>
          <w:rtl w:val="0"/>
        </w:rPr>
        <w:t xml:space="preserve">модели «сущность-связь»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Полученные в 3 и 4 лабораторных работах модели оказались идентичны.</w:t>
      </w:r>
    </w:p>
    <w:sectPr>
      <w:footerReference r:id="rId11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76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76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76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ZYf3FbXCNhG1ZeGwZxcj16uQ==">CgMxLjAaFAoBMBIPCg0IB0IJEgdHdW5nc3VoGhQKATESDwoNCAdCCRIHR3VuZ3N1aBoUCgEyEg8KDQgHQgkSB0d1bmdzdWgyCGguZ2pkZ3hzMgloLjMwajB6bGwyCWguMWZvYjl0ZTgAciExeEpYQjJUcGh1T2lfNHpQakVPdHNUTFdrTEhKMDgxSHI=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